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F" w:rsidRPr="004E7324" w:rsidRDefault="00DC1D6F" w:rsidP="00620880">
      <w:pPr>
        <w:ind w:left="9356"/>
        <w:rPr>
          <w:sz w:val="24"/>
          <w:szCs w:val="24"/>
        </w:rPr>
      </w:pPr>
      <w:r w:rsidRPr="004E7324">
        <w:rPr>
          <w:bCs/>
          <w:sz w:val="24"/>
          <w:szCs w:val="24"/>
        </w:rPr>
        <w:t xml:space="preserve">Приложение </w:t>
      </w:r>
      <w:r w:rsidR="00CB3D30">
        <w:rPr>
          <w:bCs/>
          <w:sz w:val="24"/>
          <w:szCs w:val="24"/>
        </w:rPr>
        <w:t>1</w:t>
      </w:r>
      <w:r w:rsidRPr="004E7324">
        <w:rPr>
          <w:bCs/>
          <w:sz w:val="24"/>
          <w:szCs w:val="24"/>
        </w:rPr>
        <w:t xml:space="preserve"> </w:t>
      </w:r>
    </w:p>
    <w:p w:rsidR="00DC1D6F" w:rsidRPr="004E7324" w:rsidRDefault="00DC1D6F" w:rsidP="00620880">
      <w:pPr>
        <w:ind w:left="9356"/>
        <w:rPr>
          <w:b/>
          <w:bCs/>
          <w:sz w:val="28"/>
          <w:szCs w:val="28"/>
        </w:rPr>
      </w:pPr>
      <w:r w:rsidRPr="004E7324">
        <w:rPr>
          <w:bCs/>
          <w:sz w:val="24"/>
          <w:szCs w:val="24"/>
        </w:rPr>
        <w:t xml:space="preserve">к </w:t>
      </w:r>
      <w:hyperlink r:id="rId8" w:history="1">
        <w:r w:rsidRPr="004E7324">
          <w:rPr>
            <w:bCs/>
            <w:sz w:val="24"/>
            <w:szCs w:val="24"/>
          </w:rPr>
          <w:t>Тендерной документации</w:t>
        </w:r>
      </w:hyperlink>
    </w:p>
    <w:p w:rsidR="00DC1D6F" w:rsidRDefault="00DC1D6F" w:rsidP="00620880">
      <w:pPr>
        <w:ind w:left="9356" w:right="-285"/>
        <w:rPr>
          <w:sz w:val="24"/>
          <w:szCs w:val="24"/>
        </w:rPr>
      </w:pPr>
      <w:r>
        <w:rPr>
          <w:sz w:val="24"/>
          <w:szCs w:val="24"/>
        </w:rPr>
        <w:t xml:space="preserve">по электронным закупкам товаров: </w:t>
      </w:r>
      <w:r w:rsidR="00620880">
        <w:rPr>
          <w:sz w:val="24"/>
          <w:szCs w:val="24"/>
        </w:rPr>
        <w:t>компьютер</w:t>
      </w:r>
      <w:r>
        <w:rPr>
          <w:sz w:val="24"/>
          <w:szCs w:val="24"/>
        </w:rPr>
        <w:t xml:space="preserve"> </w:t>
      </w:r>
      <w:r w:rsidR="00225143">
        <w:rPr>
          <w:sz w:val="24"/>
          <w:szCs w:val="24"/>
        </w:rPr>
        <w:t>среди ОТП</w:t>
      </w:r>
    </w:p>
    <w:p w:rsidR="00DC1D6F" w:rsidRDefault="00DC1D6F" w:rsidP="00620880">
      <w:pPr>
        <w:tabs>
          <w:tab w:val="left" w:pos="1425"/>
          <w:tab w:val="center" w:pos="4818"/>
        </w:tabs>
        <w:ind w:left="9356"/>
        <w:rPr>
          <w:spacing w:val="-1"/>
          <w:sz w:val="24"/>
          <w:szCs w:val="24"/>
        </w:rPr>
      </w:pP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p>
    <w:p w:rsidR="004729E7" w:rsidRPr="00DC1D6F" w:rsidRDefault="004729E7" w:rsidP="00DC1D6F">
      <w:pPr>
        <w:tabs>
          <w:tab w:val="left" w:pos="1425"/>
        </w:tabs>
        <w:ind w:left="9072"/>
        <w:rPr>
          <w:sz w:val="24"/>
          <w:szCs w:val="24"/>
        </w:rPr>
      </w:pPr>
    </w:p>
    <w:p w:rsidR="00DC1D6F" w:rsidRDefault="00DC1D6F" w:rsidP="00DC1D6F">
      <w:pPr>
        <w:pStyle w:val="a6"/>
        <w:spacing w:before="0" w:beforeAutospacing="0" w:after="0" w:afterAutospacing="0"/>
        <w:jc w:val="center"/>
        <w:rPr>
          <w:b/>
          <w:bCs/>
        </w:rPr>
      </w:pPr>
      <w:r w:rsidRPr="004E7324">
        <w:rPr>
          <w:b/>
          <w:bCs/>
        </w:rPr>
        <w:t>Перечень закупаемых/поставляемых товаров</w:t>
      </w:r>
    </w:p>
    <w:p w:rsidR="00620880" w:rsidRDefault="00620880" w:rsidP="00DC1D6F">
      <w:pPr>
        <w:pStyle w:val="a6"/>
        <w:spacing w:before="0" w:beforeAutospacing="0" w:after="0" w:afterAutospacing="0"/>
        <w:jc w:val="center"/>
        <w:rPr>
          <w:b/>
          <w:bCs/>
        </w:rPr>
      </w:pP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4729E7" w:rsidRPr="00B5612E" w:rsidTr="004729E7">
        <w:trPr>
          <w:trHeight w:val="1353"/>
          <w:jc w:val="center"/>
        </w:trPr>
        <w:tc>
          <w:tcPr>
            <w:tcW w:w="200"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Номер лота</w:t>
            </w:r>
          </w:p>
        </w:tc>
        <w:tc>
          <w:tcPr>
            <w:tcW w:w="675"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rPr>
                <w:b/>
                <w:bCs/>
              </w:rPr>
            </w:pPr>
            <w:r w:rsidRPr="00B5612E">
              <w:rPr>
                <w:b/>
                <w:bCs/>
              </w:rPr>
              <w:t xml:space="preserve">Наименование </w:t>
            </w:r>
          </w:p>
          <w:p w:rsidR="004729E7" w:rsidRPr="00B5612E" w:rsidRDefault="004729E7" w:rsidP="004729E7">
            <w:pPr>
              <w:spacing w:line="115" w:lineRule="atLeast"/>
              <w:ind w:left="-41" w:hanging="7"/>
              <w:jc w:val="center"/>
            </w:pPr>
            <w:r w:rsidRPr="00B5612E">
              <w:rPr>
                <w:b/>
                <w:bCs/>
              </w:rPr>
              <w:t>заказчика</w:t>
            </w:r>
          </w:p>
        </w:tc>
        <w:tc>
          <w:tcPr>
            <w:tcW w:w="832"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Наименование товара</w:t>
            </w:r>
          </w:p>
        </w:tc>
        <w:tc>
          <w:tcPr>
            <w:tcW w:w="361"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Единица измерения</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Условия поставки (в соответствии с ИНКОТЕРМС 2010)</w:t>
            </w:r>
          </w:p>
        </w:tc>
        <w:tc>
          <w:tcPr>
            <w:tcW w:w="496"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Срок поставки товаров</w:t>
            </w:r>
          </w:p>
        </w:tc>
        <w:tc>
          <w:tcPr>
            <w:tcW w:w="542"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Место поставки товаров</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Размер авансового платежа, %</w:t>
            </w:r>
          </w:p>
        </w:tc>
        <w:tc>
          <w:tcPr>
            <w:tcW w:w="585"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Сумма, выделенная для закупок способом тендера (по лоту номер), тенге</w:t>
            </w:r>
          </w:p>
        </w:tc>
      </w:tr>
      <w:tr w:rsidR="004729E7" w:rsidRPr="00B5612E" w:rsidTr="004729E7">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10</w:t>
            </w:r>
          </w:p>
        </w:tc>
      </w:tr>
      <w:tr w:rsidR="004729E7" w:rsidRPr="00B5612E" w:rsidTr="004729E7">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hanging="40"/>
              <w:jc w:val="center"/>
              <w:rPr>
                <w:bCs/>
              </w:rPr>
            </w:pPr>
            <w:r w:rsidRPr="00B5612E">
              <w:rPr>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F57DF1" w:rsidP="005371D3">
            <w:pPr>
              <w:spacing w:line="65" w:lineRule="atLeast"/>
              <w:jc w:val="center"/>
              <w:rPr>
                <w:bCs/>
              </w:rPr>
            </w:pPr>
            <w:r>
              <w:rPr>
                <w:bCs/>
              </w:rPr>
              <w:t>Компьютер</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F57DF1" w:rsidP="004729E7">
            <w:pPr>
              <w:spacing w:line="65" w:lineRule="atLeast"/>
              <w:jc w:val="center"/>
              <w:rPr>
                <w:bCs/>
              </w:rPr>
            </w:pPr>
            <w:r>
              <w:rPr>
                <w:bCs/>
              </w:rPr>
              <w:t>49</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F57DF1" w:rsidP="00472B98">
            <w:pPr>
              <w:spacing w:line="65" w:lineRule="atLeast"/>
              <w:jc w:val="center"/>
              <w:rPr>
                <w:bCs/>
              </w:rPr>
            </w:pPr>
            <w:r>
              <w:rPr>
                <w:bCs/>
              </w:rPr>
              <w:t>в течение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B98">
            <w:pPr>
              <w:spacing w:line="65" w:lineRule="atLeast"/>
              <w:jc w:val="center"/>
              <w:rPr>
                <w:bCs/>
              </w:rPr>
            </w:pPr>
            <w:r w:rsidRPr="00B5612E">
              <w:rPr>
                <w:bCs/>
              </w:rPr>
              <w:t xml:space="preserve">г. </w:t>
            </w:r>
            <w:proofErr w:type="spellStart"/>
            <w:r w:rsidRPr="00B5612E">
              <w:rPr>
                <w:bCs/>
              </w:rPr>
              <w:t>Алматы</w:t>
            </w:r>
            <w:proofErr w:type="spellEnd"/>
            <w:r w:rsidRPr="00B5612E">
              <w:rPr>
                <w:bCs/>
              </w:rPr>
              <w:t>, 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F57DF1" w:rsidP="00620880">
            <w:pPr>
              <w:spacing w:line="65" w:lineRule="atLeast"/>
              <w:jc w:val="center"/>
              <w:rPr>
                <w:bCs/>
              </w:rPr>
            </w:pPr>
            <w:r>
              <w:rPr>
                <w:bCs/>
              </w:rPr>
              <w:t>10 018 822,73</w:t>
            </w:r>
          </w:p>
        </w:tc>
      </w:tr>
    </w:tbl>
    <w:p w:rsidR="00DC1D6F" w:rsidRPr="004E7324" w:rsidRDefault="00DC1D6F" w:rsidP="00DC1D6F">
      <w:r w:rsidRPr="004E7324">
        <w:t xml:space="preserve">   * Полное опи</w:t>
      </w:r>
      <w:r>
        <w:t xml:space="preserve">сание и характеристика товаров </w:t>
      </w:r>
      <w:r w:rsidRPr="004E7324">
        <w:t>указывается в технической спецификации</w:t>
      </w:r>
    </w:p>
    <w:p w:rsidR="00472B98" w:rsidRDefault="00472B98" w:rsidP="00E10AC0">
      <w:pPr>
        <w:ind w:firstLine="709"/>
        <w:jc w:val="both"/>
        <w:rPr>
          <w:sz w:val="24"/>
          <w:szCs w:val="24"/>
        </w:rPr>
      </w:pPr>
    </w:p>
    <w:p w:rsidR="00DC1D6F" w:rsidRPr="007155AF" w:rsidRDefault="00DC1D6F" w:rsidP="00E10AC0">
      <w:pPr>
        <w:ind w:firstLine="709"/>
        <w:jc w:val="both"/>
        <w:rPr>
          <w:sz w:val="24"/>
          <w:szCs w:val="24"/>
        </w:rPr>
      </w:pPr>
      <w:r w:rsidRPr="00E10AC0">
        <w:rPr>
          <w:sz w:val="24"/>
          <w:szCs w:val="24"/>
        </w:rPr>
        <w:t xml:space="preserve">Базовые условия платежа: </w:t>
      </w:r>
      <w:r w:rsidR="00E10AC0" w:rsidRPr="00E10AC0">
        <w:rPr>
          <w:sz w:val="24"/>
          <w:szCs w:val="24"/>
        </w:rPr>
        <w:t>В течение 10 (десяти) рабочих дней с момента заключения Договора и выставления счета на оплату Заказчик производит предоплату в размере 30% (тридцати процентов) от</w:t>
      </w:r>
      <w:r w:rsidR="00E10AC0">
        <w:rPr>
          <w:sz w:val="24"/>
          <w:szCs w:val="24"/>
        </w:rPr>
        <w:t xml:space="preserve"> общей суммы Договора</w:t>
      </w:r>
      <w:r w:rsidR="00E10AC0" w:rsidRPr="00E10AC0">
        <w:rPr>
          <w:sz w:val="24"/>
          <w:szCs w:val="24"/>
        </w:rPr>
        <w:t>, путем перечисления денежных средств на расчетный счет Поставщика.</w:t>
      </w:r>
      <w:r w:rsidR="00692F2A">
        <w:rPr>
          <w:sz w:val="24"/>
          <w:szCs w:val="24"/>
        </w:rPr>
        <w:t xml:space="preserve"> </w:t>
      </w:r>
      <w:r w:rsidR="00E10AC0" w:rsidRPr="00E10AC0">
        <w:rPr>
          <w:sz w:val="24"/>
          <w:szCs w:val="24"/>
        </w:rPr>
        <w:t>Оставшаяся сумма в размере 70% (семидесяти процентов) от суммы Договора, оплачивается по факту поставки товара в течение 10 (десяти) рабочих дней с момента получения товара по накладной или подписания Сторонами акта приёма-передачи и выставления счета на оплату</w:t>
      </w:r>
      <w:r w:rsidRPr="00E10AC0">
        <w:rPr>
          <w:sz w:val="24"/>
          <w:szCs w:val="24"/>
        </w:rPr>
        <w:t>.</w:t>
      </w:r>
    </w:p>
    <w:p w:rsidR="00DC1D6F" w:rsidRPr="003C32A3" w:rsidRDefault="00DC1D6F" w:rsidP="00DC1D6F"/>
    <w:p w:rsidR="00DC1D6F" w:rsidRPr="003C32A3" w:rsidRDefault="00DC1D6F" w:rsidP="00DC1D6F"/>
    <w:p w:rsidR="00DC1D6F" w:rsidRPr="004E7324" w:rsidRDefault="00DC1D6F" w:rsidP="00DC1D6F">
      <w:pPr>
        <w:jc w:val="center"/>
        <w:rPr>
          <w:b/>
        </w:rPr>
      </w:pPr>
      <w:r w:rsidRPr="004E7324">
        <w:rPr>
          <w:b/>
        </w:rPr>
        <w:t>________________________                                                                                    ____________________________</w:t>
      </w:r>
    </w:p>
    <w:p w:rsidR="00DC1D6F" w:rsidRPr="004E7324" w:rsidRDefault="00DC1D6F" w:rsidP="00DC1D6F">
      <w:pPr>
        <w:jc w:val="center"/>
        <w:rPr>
          <w:b/>
        </w:rPr>
      </w:pPr>
      <w:r w:rsidRPr="006870F4">
        <w:rPr>
          <w:sz w:val="24"/>
          <w:szCs w:val="24"/>
        </w:rPr>
        <w:t>(</w:t>
      </w:r>
      <w:r w:rsidRPr="006870F4">
        <w:t>должность, подпись)                                                                                                     (</w:t>
      </w:r>
      <w:r w:rsidRPr="006870F4">
        <w:rPr>
          <w:bCs/>
        </w:rPr>
        <w:t>инициалы, фамилия</w:t>
      </w:r>
      <w:r w:rsidRPr="006870F4">
        <w:t>)</w:t>
      </w:r>
    </w:p>
    <w:p w:rsidR="00DC1D6F" w:rsidRDefault="00DC1D6F" w:rsidP="00DC1D6F">
      <w:r w:rsidRPr="004E7324">
        <w:t>(М.П.)</w:t>
      </w:r>
      <w:r w:rsidRPr="004E7324">
        <w:rPr>
          <w:b/>
        </w:rPr>
        <w:br/>
        <w:t xml:space="preserve">   </w:t>
      </w:r>
      <w:r w:rsidRPr="004E7324">
        <w:t>(подписывает первый руководитель юридического лица - потенциального поставщика)</w:t>
      </w:r>
    </w:p>
    <w:p w:rsidR="00DC1D6F" w:rsidRDefault="00DC1D6F" w:rsidP="00547EED">
      <w:pPr>
        <w:spacing w:after="200" w:line="276" w:lineRule="auto"/>
        <w:jc w:val="right"/>
        <w:rPr>
          <w:sz w:val="24"/>
          <w:szCs w:val="24"/>
        </w:rPr>
      </w:pPr>
    </w:p>
    <w:p w:rsidR="00F666F5" w:rsidRDefault="00F666F5" w:rsidP="00547EED">
      <w:pPr>
        <w:spacing w:after="200" w:line="276" w:lineRule="auto"/>
        <w:jc w:val="right"/>
        <w:rPr>
          <w:sz w:val="24"/>
          <w:szCs w:val="24"/>
        </w:rPr>
      </w:pPr>
    </w:p>
    <w:p w:rsidR="00F666F5" w:rsidRPr="00547EED" w:rsidRDefault="00F666F5" w:rsidP="00F666F5">
      <w:pPr>
        <w:spacing w:after="200" w:line="276" w:lineRule="auto"/>
        <w:jc w:val="right"/>
        <w:rPr>
          <w:sz w:val="24"/>
          <w:szCs w:val="24"/>
        </w:rPr>
        <w:sectPr w:rsidR="00F666F5" w:rsidRPr="00547EED" w:rsidSect="00E15060">
          <w:headerReference w:type="default" r:id="rId9"/>
          <w:footerReference w:type="default" r:id="rId10"/>
          <w:pgSz w:w="16838" w:h="11906" w:orient="landscape"/>
          <w:pgMar w:top="851" w:right="851" w:bottom="1418" w:left="851" w:header="709" w:footer="709" w:gutter="0"/>
          <w:cols w:space="708"/>
          <w:docGrid w:linePitch="360"/>
        </w:sectPr>
      </w:pPr>
      <w:r>
        <w:rPr>
          <w:sz w:val="24"/>
          <w:szCs w:val="24"/>
        </w:rPr>
        <w:t>28</w:t>
      </w:r>
    </w:p>
    <w:p w:rsidR="00E15060" w:rsidRPr="004E7324" w:rsidRDefault="00E15060" w:rsidP="00620880">
      <w:pPr>
        <w:tabs>
          <w:tab w:val="left" w:pos="5103"/>
        </w:tabs>
        <w:ind w:left="5103"/>
        <w:rPr>
          <w:sz w:val="24"/>
          <w:szCs w:val="24"/>
        </w:rPr>
      </w:pPr>
      <w:bookmarkStart w:id="0" w:name="sub1000000579"/>
      <w:r w:rsidRPr="004E7324">
        <w:rPr>
          <w:bCs/>
          <w:sz w:val="24"/>
          <w:szCs w:val="24"/>
        </w:rPr>
        <w:lastRenderedPageBreak/>
        <w:t xml:space="preserve">Приложение </w:t>
      </w:r>
      <w:r>
        <w:rPr>
          <w:bCs/>
          <w:sz w:val="24"/>
          <w:szCs w:val="24"/>
        </w:rPr>
        <w:t>2</w:t>
      </w:r>
      <w:r w:rsidRPr="004E7324">
        <w:rPr>
          <w:bCs/>
          <w:sz w:val="24"/>
          <w:szCs w:val="24"/>
        </w:rPr>
        <w:t xml:space="preserve"> </w:t>
      </w:r>
    </w:p>
    <w:p w:rsidR="00E15060" w:rsidRPr="004E7324" w:rsidRDefault="00E15060" w:rsidP="00620880">
      <w:pPr>
        <w:tabs>
          <w:tab w:val="left" w:pos="5103"/>
        </w:tabs>
        <w:ind w:left="5103"/>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p>
    <w:p w:rsidR="004729E7" w:rsidRPr="00E60159" w:rsidRDefault="009600A8" w:rsidP="00620880">
      <w:pPr>
        <w:tabs>
          <w:tab w:val="left" w:pos="5103"/>
        </w:tabs>
        <w:ind w:left="5103" w:right="-285"/>
        <w:rPr>
          <w:sz w:val="24"/>
          <w:szCs w:val="24"/>
        </w:rPr>
      </w:pPr>
      <w:r>
        <w:rPr>
          <w:sz w:val="24"/>
          <w:szCs w:val="24"/>
        </w:rPr>
        <w:t xml:space="preserve">по электронным закупкам товаров: </w:t>
      </w:r>
      <w:r w:rsidR="00620880">
        <w:rPr>
          <w:sz w:val="24"/>
          <w:szCs w:val="24"/>
        </w:rPr>
        <w:t xml:space="preserve">компьютер </w:t>
      </w:r>
      <w:r>
        <w:rPr>
          <w:sz w:val="24"/>
          <w:szCs w:val="24"/>
        </w:rPr>
        <w:t>среди ОТП</w:t>
      </w:r>
      <w:r w:rsidR="00E15060">
        <w:rPr>
          <w:sz w:val="24"/>
          <w:szCs w:val="24"/>
        </w:rPr>
        <w:t xml:space="preserve">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sidR="00E15060">
        <w:rPr>
          <w:sz w:val="24"/>
          <w:szCs w:val="24"/>
        </w:rPr>
        <w:t xml:space="preserve"> </w:t>
      </w:r>
    </w:p>
    <w:p w:rsidR="00DC1D6F" w:rsidRDefault="00DC1D6F" w:rsidP="00DC1D6F">
      <w:pPr>
        <w:jc w:val="right"/>
        <w:rPr>
          <w:rStyle w:val="s0"/>
          <w:sz w:val="24"/>
          <w:szCs w:val="24"/>
        </w:rPr>
      </w:pPr>
    </w:p>
    <w:bookmarkEnd w:id="0"/>
    <w:p w:rsidR="0019751E" w:rsidRPr="0019751E" w:rsidRDefault="0019751E" w:rsidP="00286205">
      <w:pPr>
        <w:ind w:firstLine="6237"/>
        <w:rPr>
          <w:sz w:val="24"/>
          <w:szCs w:val="24"/>
        </w:rPr>
      </w:pPr>
      <w:r w:rsidRPr="0019751E">
        <w:rPr>
          <w:sz w:val="24"/>
          <w:szCs w:val="24"/>
        </w:rPr>
        <w:t>Утверждена</w:t>
      </w:r>
    </w:p>
    <w:bookmarkStart w:id="1" w:name="sub1004520437"/>
    <w:p w:rsidR="0019751E" w:rsidRPr="0019751E" w:rsidRDefault="00EC60F6" w:rsidP="00286205">
      <w:pPr>
        <w:ind w:firstLine="6237"/>
        <w:rPr>
          <w:sz w:val="24"/>
          <w:szCs w:val="24"/>
        </w:rPr>
      </w:pPr>
      <w:r w:rsidRPr="0019751E">
        <w:rPr>
          <w:sz w:val="24"/>
          <w:szCs w:val="24"/>
        </w:rPr>
        <w:fldChar w:fldCharType="begin"/>
      </w:r>
      <w:r w:rsidR="0019751E" w:rsidRPr="0019751E">
        <w:rPr>
          <w:sz w:val="24"/>
          <w:szCs w:val="24"/>
        </w:rPr>
        <w:instrText xml:space="preserve"> HYPERLINK "jl:34304642.0 " </w:instrText>
      </w:r>
      <w:r w:rsidRPr="0019751E">
        <w:rPr>
          <w:sz w:val="24"/>
          <w:szCs w:val="24"/>
        </w:rPr>
        <w:fldChar w:fldCharType="separate"/>
      </w:r>
      <w:r w:rsidR="0019751E" w:rsidRPr="0019751E">
        <w:rPr>
          <w:rStyle w:val="a5"/>
          <w:sz w:val="24"/>
          <w:szCs w:val="24"/>
        </w:rPr>
        <w:t>приказом</w:t>
      </w:r>
      <w:r w:rsidRPr="0019751E">
        <w:rPr>
          <w:sz w:val="24"/>
          <w:szCs w:val="24"/>
        </w:rPr>
        <w:fldChar w:fldCharType="end"/>
      </w:r>
      <w:bookmarkEnd w:id="1"/>
      <w:r w:rsidR="0019751E" w:rsidRPr="0019751E">
        <w:rPr>
          <w:sz w:val="24"/>
          <w:szCs w:val="24"/>
        </w:rPr>
        <w:t xml:space="preserve"> Министра </w:t>
      </w:r>
      <w:proofErr w:type="gramStart"/>
      <w:r w:rsidR="0019751E" w:rsidRPr="0019751E">
        <w:rPr>
          <w:sz w:val="24"/>
          <w:szCs w:val="24"/>
        </w:rPr>
        <w:t>по</w:t>
      </w:r>
      <w:proofErr w:type="gramEnd"/>
    </w:p>
    <w:p w:rsidR="0019751E" w:rsidRPr="0019751E" w:rsidRDefault="0019751E" w:rsidP="00286205">
      <w:pPr>
        <w:ind w:firstLine="6237"/>
        <w:rPr>
          <w:sz w:val="24"/>
          <w:szCs w:val="24"/>
        </w:rPr>
      </w:pPr>
      <w:r w:rsidRPr="0019751E">
        <w:rPr>
          <w:sz w:val="24"/>
          <w:szCs w:val="24"/>
        </w:rPr>
        <w:t>инвестициям и развитию</w:t>
      </w:r>
    </w:p>
    <w:p w:rsidR="0019751E" w:rsidRPr="0019751E" w:rsidRDefault="0019751E" w:rsidP="00286205">
      <w:pPr>
        <w:ind w:firstLine="6237"/>
        <w:rPr>
          <w:sz w:val="24"/>
          <w:szCs w:val="24"/>
        </w:rPr>
      </w:pPr>
      <w:r w:rsidRPr="0019751E">
        <w:rPr>
          <w:sz w:val="24"/>
          <w:szCs w:val="24"/>
        </w:rPr>
        <w:t>Республики Казахстан</w:t>
      </w:r>
    </w:p>
    <w:p w:rsidR="0019751E" w:rsidRPr="0019751E" w:rsidRDefault="0019751E" w:rsidP="00286205">
      <w:pPr>
        <w:ind w:firstLine="6237"/>
        <w:rPr>
          <w:sz w:val="24"/>
          <w:szCs w:val="24"/>
        </w:rPr>
      </w:pPr>
      <w:r w:rsidRPr="0019751E">
        <w:rPr>
          <w:sz w:val="24"/>
          <w:szCs w:val="24"/>
        </w:rPr>
        <w:t>от 30 января 2015 года № 87</w:t>
      </w:r>
    </w:p>
    <w:p w:rsidR="00DC1D6F" w:rsidRPr="00860473" w:rsidRDefault="00DC1D6F" w:rsidP="00DC1D6F">
      <w:pPr>
        <w:ind w:left="6096"/>
        <w:jc w:val="both"/>
        <w:rPr>
          <w:sz w:val="24"/>
          <w:szCs w:val="24"/>
        </w:rPr>
      </w:pPr>
    </w:p>
    <w:p w:rsidR="00DC1D6F" w:rsidRPr="00860473" w:rsidRDefault="00DC1D6F" w:rsidP="00DC1D6F">
      <w:pPr>
        <w:jc w:val="center"/>
        <w:rPr>
          <w:sz w:val="24"/>
          <w:szCs w:val="24"/>
        </w:rPr>
      </w:pPr>
      <w:r w:rsidRPr="00860473">
        <w:rPr>
          <w:rStyle w:val="s1"/>
          <w:sz w:val="24"/>
          <w:szCs w:val="24"/>
        </w:rPr>
        <w:t> </w:t>
      </w:r>
    </w:p>
    <w:p w:rsidR="0019751E" w:rsidRPr="00286205" w:rsidRDefault="0019751E" w:rsidP="0019751E">
      <w:pPr>
        <w:jc w:val="center"/>
        <w:rPr>
          <w:sz w:val="24"/>
          <w:szCs w:val="24"/>
        </w:rPr>
      </w:pPr>
      <w:r w:rsidRPr="00286205">
        <w:rPr>
          <w:rStyle w:val="s1"/>
          <w:sz w:val="24"/>
          <w:szCs w:val="24"/>
        </w:rPr>
        <w:t>Единая методика</w:t>
      </w:r>
      <w:r w:rsidRPr="00286205">
        <w:rPr>
          <w:b/>
          <w:bCs/>
          <w:sz w:val="24"/>
          <w:szCs w:val="24"/>
        </w:rPr>
        <w:br/>
      </w:r>
      <w:r w:rsidRPr="00286205">
        <w:rPr>
          <w:rStyle w:val="s1"/>
          <w:sz w:val="24"/>
          <w:szCs w:val="24"/>
        </w:rPr>
        <w:t>расчета организациями местного содержания при закупке</w:t>
      </w:r>
      <w:r w:rsidRPr="00286205">
        <w:rPr>
          <w:b/>
          <w:bCs/>
          <w:sz w:val="24"/>
          <w:szCs w:val="24"/>
        </w:rPr>
        <w:br/>
      </w:r>
      <w:r w:rsidRPr="00286205">
        <w:rPr>
          <w:rStyle w:val="s1"/>
          <w:sz w:val="24"/>
          <w:szCs w:val="24"/>
        </w:rPr>
        <w:t>товаров, работ и услуг</w:t>
      </w:r>
    </w:p>
    <w:p w:rsidR="0019751E" w:rsidRPr="00286205" w:rsidRDefault="0019751E" w:rsidP="0019751E">
      <w:pPr>
        <w:jc w:val="center"/>
        <w:rPr>
          <w:sz w:val="24"/>
          <w:szCs w:val="24"/>
        </w:rPr>
      </w:pPr>
      <w:r w:rsidRPr="00286205">
        <w:rPr>
          <w:rStyle w:val="s1"/>
          <w:sz w:val="24"/>
          <w:szCs w:val="24"/>
        </w:rPr>
        <w:t> </w:t>
      </w:r>
    </w:p>
    <w:p w:rsidR="0019751E" w:rsidRPr="00286205" w:rsidRDefault="0019751E" w:rsidP="0019751E">
      <w:pPr>
        <w:ind w:firstLine="400"/>
        <w:jc w:val="both"/>
        <w:rPr>
          <w:sz w:val="24"/>
          <w:szCs w:val="24"/>
        </w:rPr>
      </w:pPr>
      <w:r w:rsidRPr="00286205">
        <w:rPr>
          <w:rStyle w:val="s0"/>
          <w:sz w:val="24"/>
          <w:szCs w:val="24"/>
        </w:rPr>
        <w:t xml:space="preserve">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w:t>
      </w:r>
      <w:bookmarkStart w:id="2" w:name="sub1001481350"/>
      <w:r w:rsidR="00EC60F6" w:rsidRPr="00286205">
        <w:rPr>
          <w:rStyle w:val="s0"/>
          <w:sz w:val="24"/>
          <w:szCs w:val="24"/>
        </w:rPr>
        <w:fldChar w:fldCharType="begin"/>
      </w:r>
      <w:r w:rsidRPr="00286205">
        <w:rPr>
          <w:rStyle w:val="s0"/>
          <w:sz w:val="24"/>
          <w:szCs w:val="24"/>
        </w:rPr>
        <w:instrText xml:space="preserve"> HYPERLINK "jl:30770874.0 " </w:instrText>
      </w:r>
      <w:r w:rsidR="00EC60F6" w:rsidRPr="00286205">
        <w:rPr>
          <w:rStyle w:val="s0"/>
          <w:sz w:val="24"/>
          <w:szCs w:val="24"/>
        </w:rPr>
        <w:fldChar w:fldCharType="separate"/>
      </w:r>
      <w:r w:rsidRPr="00286205">
        <w:rPr>
          <w:rStyle w:val="a5"/>
          <w:sz w:val="24"/>
          <w:szCs w:val="24"/>
        </w:rPr>
        <w:t>Законом</w:t>
      </w:r>
      <w:r w:rsidR="00EC60F6" w:rsidRPr="00286205">
        <w:rPr>
          <w:rStyle w:val="s0"/>
          <w:sz w:val="24"/>
          <w:szCs w:val="24"/>
        </w:rPr>
        <w:fldChar w:fldCharType="end"/>
      </w:r>
      <w:bookmarkEnd w:id="2"/>
      <w:r w:rsidRPr="00286205">
        <w:rPr>
          <w:rStyle w:val="s0"/>
          <w:sz w:val="24"/>
          <w:szCs w:val="24"/>
        </w:rPr>
        <w:t xml:space="preserve"> Республики Казахстан от 24 июня 2010 года «О недрах и </w:t>
      </w:r>
      <w:proofErr w:type="spellStart"/>
      <w:r w:rsidRPr="00286205">
        <w:rPr>
          <w:rStyle w:val="s0"/>
          <w:sz w:val="24"/>
          <w:szCs w:val="24"/>
        </w:rPr>
        <w:t>недропользовании</w:t>
      </w:r>
      <w:proofErr w:type="spellEnd"/>
      <w:r w:rsidRPr="00286205">
        <w:rPr>
          <w:rStyle w:val="s0"/>
          <w:sz w:val="24"/>
          <w:szCs w:val="24"/>
        </w:rPr>
        <w:t>» (далее - Закон).</w:t>
      </w:r>
    </w:p>
    <w:p w:rsidR="0019751E" w:rsidRPr="00286205" w:rsidRDefault="0019751E" w:rsidP="0019751E">
      <w:pPr>
        <w:ind w:firstLine="400"/>
        <w:jc w:val="both"/>
        <w:rPr>
          <w:sz w:val="24"/>
          <w:szCs w:val="24"/>
        </w:rPr>
      </w:pPr>
      <w:bookmarkStart w:id="3" w:name="SUB200"/>
      <w:bookmarkEnd w:id="3"/>
      <w:r w:rsidRPr="00286205">
        <w:rPr>
          <w:rStyle w:val="s0"/>
          <w:sz w:val="24"/>
          <w:szCs w:val="24"/>
        </w:rPr>
        <w:t>2. Единая методика предназначена для расчета местного содержания при закупке товаров, работ и услуг:</w:t>
      </w:r>
    </w:p>
    <w:p w:rsidR="0019751E" w:rsidRPr="00286205" w:rsidRDefault="0019751E" w:rsidP="0019751E">
      <w:pPr>
        <w:ind w:firstLine="400"/>
        <w:jc w:val="both"/>
        <w:rPr>
          <w:sz w:val="24"/>
          <w:szCs w:val="24"/>
        </w:rPr>
      </w:pPr>
      <w:r w:rsidRPr="00286205">
        <w:rPr>
          <w:rStyle w:val="s0"/>
          <w:sz w:val="24"/>
          <w:szCs w:val="24"/>
        </w:rPr>
        <w:t xml:space="preserve">1)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286205">
        <w:rPr>
          <w:rStyle w:val="s0"/>
          <w:sz w:val="24"/>
          <w:szCs w:val="24"/>
        </w:rPr>
        <w:t>аффилированными</w:t>
      </w:r>
      <w:proofErr w:type="spellEnd"/>
      <w:r w:rsidRPr="00286205">
        <w:rPr>
          <w:rStyle w:val="s0"/>
          <w:sz w:val="24"/>
          <w:szCs w:val="24"/>
        </w:rPr>
        <w:t xml:space="preserve"> с ними юридическими лицами, осуществляющими приобретение товаров, работ и услуг в соответствии с </w:t>
      </w:r>
      <w:bookmarkStart w:id="4" w:name="sub1000657353"/>
      <w:r w:rsidR="00EC60F6" w:rsidRPr="00286205">
        <w:rPr>
          <w:rStyle w:val="s0"/>
          <w:sz w:val="24"/>
          <w:szCs w:val="24"/>
        </w:rPr>
        <w:fldChar w:fldCharType="begin"/>
      </w:r>
      <w:r w:rsidRPr="00286205">
        <w:rPr>
          <w:rStyle w:val="s0"/>
          <w:sz w:val="24"/>
          <w:szCs w:val="24"/>
        </w:rPr>
        <w:instrText xml:space="preserve"> HYPERLINK "jl:30115056.0 " </w:instrText>
      </w:r>
      <w:r w:rsidR="00EC60F6" w:rsidRPr="00286205">
        <w:rPr>
          <w:rStyle w:val="s0"/>
          <w:sz w:val="24"/>
          <w:szCs w:val="24"/>
        </w:rPr>
        <w:fldChar w:fldCharType="separate"/>
      </w:r>
      <w:r w:rsidRPr="00286205">
        <w:rPr>
          <w:rStyle w:val="a5"/>
          <w:sz w:val="24"/>
          <w:szCs w:val="24"/>
        </w:rPr>
        <w:t>Законом</w:t>
      </w:r>
      <w:r w:rsidR="00EC60F6" w:rsidRPr="00286205">
        <w:rPr>
          <w:rStyle w:val="s0"/>
          <w:sz w:val="24"/>
          <w:szCs w:val="24"/>
        </w:rPr>
        <w:fldChar w:fldCharType="end"/>
      </w:r>
      <w:bookmarkEnd w:id="4"/>
      <w:r w:rsidRPr="00286205">
        <w:rPr>
          <w:rStyle w:val="s0"/>
          <w:sz w:val="24"/>
          <w:szCs w:val="24"/>
        </w:rPr>
        <w:t xml:space="preserve"> Республики Казахстан от 21 июля 2007 года «О государственных закупках»;</w:t>
      </w:r>
    </w:p>
    <w:p w:rsidR="0019751E" w:rsidRPr="00286205" w:rsidRDefault="0019751E" w:rsidP="0019751E">
      <w:pPr>
        <w:ind w:firstLine="400"/>
        <w:jc w:val="both"/>
        <w:rPr>
          <w:sz w:val="24"/>
          <w:szCs w:val="24"/>
        </w:rPr>
      </w:pPr>
      <w:r w:rsidRPr="00286205">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286205">
        <w:rPr>
          <w:rStyle w:val="s0"/>
          <w:sz w:val="24"/>
          <w:szCs w:val="24"/>
        </w:rPr>
        <w:t>аффилированными</w:t>
      </w:r>
      <w:proofErr w:type="spellEnd"/>
      <w:r w:rsidRPr="00286205">
        <w:rPr>
          <w:rStyle w:val="s0"/>
          <w:sz w:val="24"/>
          <w:szCs w:val="24"/>
        </w:rPr>
        <w:t xml:space="preserve"> компаниями, иными юридическими лицами с участием государства;</w:t>
      </w:r>
    </w:p>
    <w:p w:rsidR="0019751E" w:rsidRPr="00286205" w:rsidRDefault="0019751E" w:rsidP="0019751E">
      <w:pPr>
        <w:ind w:firstLine="400"/>
        <w:jc w:val="both"/>
        <w:rPr>
          <w:sz w:val="24"/>
          <w:szCs w:val="24"/>
        </w:rPr>
      </w:pPr>
      <w:r w:rsidRPr="00286205">
        <w:rPr>
          <w:rStyle w:val="s0"/>
          <w:sz w:val="24"/>
          <w:szCs w:val="24"/>
        </w:rPr>
        <w:t xml:space="preserve">3) </w:t>
      </w:r>
      <w:proofErr w:type="spellStart"/>
      <w:r w:rsidRPr="00286205">
        <w:rPr>
          <w:rStyle w:val="s0"/>
          <w:sz w:val="24"/>
          <w:szCs w:val="24"/>
        </w:rPr>
        <w:t>недропользователями</w:t>
      </w:r>
      <w:proofErr w:type="spellEnd"/>
      <w:r w:rsidRPr="00286205">
        <w:rPr>
          <w:rStyle w:val="s0"/>
          <w:sz w:val="24"/>
          <w:szCs w:val="24"/>
        </w:rPr>
        <w:t xml:space="preserve"> и (или) лицами, уполномоченными </w:t>
      </w:r>
      <w:proofErr w:type="spellStart"/>
      <w:r w:rsidRPr="00286205">
        <w:rPr>
          <w:rStyle w:val="s0"/>
          <w:sz w:val="24"/>
          <w:szCs w:val="24"/>
        </w:rPr>
        <w:t>недропользователями</w:t>
      </w:r>
      <w:proofErr w:type="spellEnd"/>
      <w:r w:rsidRPr="00286205">
        <w:rPr>
          <w:rStyle w:val="s0"/>
          <w:sz w:val="24"/>
          <w:szCs w:val="24"/>
        </w:rPr>
        <w:t xml:space="preserve"> осуществлять закуп товаров, работ и услуг в соответствии с Законом;</w:t>
      </w:r>
    </w:p>
    <w:p w:rsidR="0019751E" w:rsidRPr="00286205" w:rsidRDefault="0019751E" w:rsidP="0019751E">
      <w:pPr>
        <w:ind w:firstLine="400"/>
        <w:jc w:val="both"/>
        <w:rPr>
          <w:sz w:val="24"/>
          <w:szCs w:val="24"/>
        </w:rPr>
      </w:pPr>
      <w:r w:rsidRPr="00286205">
        <w:rPr>
          <w:rStyle w:val="s0"/>
          <w:sz w:val="24"/>
          <w:szCs w:val="24"/>
        </w:rPr>
        <w:t xml:space="preserve">4) организациями, закупки товаров, работ и услуг которых подлежат мониторингу местного содержания, в соответствии с </w:t>
      </w:r>
      <w:bookmarkStart w:id="5" w:name="sub1001006525"/>
      <w:r w:rsidR="00EC60F6" w:rsidRPr="00286205">
        <w:rPr>
          <w:rStyle w:val="s0"/>
          <w:sz w:val="24"/>
          <w:szCs w:val="24"/>
        </w:rPr>
        <w:fldChar w:fldCharType="begin"/>
      </w:r>
      <w:r w:rsidRPr="00286205">
        <w:rPr>
          <w:rStyle w:val="s0"/>
          <w:sz w:val="24"/>
          <w:szCs w:val="24"/>
        </w:rPr>
        <w:instrText xml:space="preserve"> HYPERLINK "jl:30399551.0 " </w:instrText>
      </w:r>
      <w:r w:rsidR="00EC60F6" w:rsidRPr="00286205">
        <w:rPr>
          <w:rStyle w:val="s0"/>
          <w:sz w:val="24"/>
          <w:szCs w:val="24"/>
        </w:rPr>
        <w:fldChar w:fldCharType="separate"/>
      </w:r>
      <w:r w:rsidRPr="00286205">
        <w:rPr>
          <w:rStyle w:val="a5"/>
          <w:sz w:val="24"/>
          <w:szCs w:val="24"/>
        </w:rPr>
        <w:t>постановлением</w:t>
      </w:r>
      <w:r w:rsidR="00EC60F6" w:rsidRPr="00286205">
        <w:rPr>
          <w:rStyle w:val="s0"/>
          <w:sz w:val="24"/>
          <w:szCs w:val="24"/>
        </w:rPr>
        <w:fldChar w:fldCharType="end"/>
      </w:r>
      <w:bookmarkEnd w:id="5"/>
      <w:r w:rsidRPr="00286205">
        <w:rPr>
          <w:rStyle w:val="s0"/>
          <w:sz w:val="24"/>
          <w:szCs w:val="24"/>
        </w:rPr>
        <w:t xml:space="preserve"> Правительства Республики Казахстан от 20 марта 2009 года № 366 «Об утверждении перечня организаций, закупки товаров, работ и услуг которых подлежат мониторингу казахстанского содержания»;</w:t>
      </w:r>
    </w:p>
    <w:p w:rsidR="0019751E" w:rsidRPr="00286205" w:rsidRDefault="0019751E" w:rsidP="0019751E">
      <w:pPr>
        <w:ind w:firstLine="400"/>
        <w:jc w:val="both"/>
        <w:rPr>
          <w:sz w:val="24"/>
          <w:szCs w:val="24"/>
        </w:rPr>
      </w:pPr>
      <w:r w:rsidRPr="00286205">
        <w:rPr>
          <w:rStyle w:val="s0"/>
          <w:sz w:val="24"/>
          <w:szCs w:val="24"/>
        </w:rPr>
        <w:t>5) концессионерами.</w:t>
      </w:r>
    </w:p>
    <w:p w:rsidR="0019751E" w:rsidRPr="00286205" w:rsidRDefault="0019751E" w:rsidP="0019751E">
      <w:pPr>
        <w:ind w:firstLine="400"/>
        <w:jc w:val="both"/>
        <w:rPr>
          <w:sz w:val="24"/>
          <w:szCs w:val="24"/>
        </w:rPr>
      </w:pPr>
      <w:bookmarkStart w:id="6" w:name="SUB300"/>
      <w:bookmarkEnd w:id="6"/>
      <w:r w:rsidRPr="00286205">
        <w:rPr>
          <w:rStyle w:val="s0"/>
          <w:sz w:val="24"/>
          <w:szCs w:val="24"/>
        </w:rPr>
        <w:t>3. Расчет местного содержания при закупках товаров, работ и услуг проводится с целью:</w:t>
      </w:r>
    </w:p>
    <w:p w:rsidR="0019751E" w:rsidRPr="00286205" w:rsidRDefault="0019751E" w:rsidP="0019751E">
      <w:pPr>
        <w:ind w:firstLine="400"/>
        <w:jc w:val="both"/>
        <w:rPr>
          <w:sz w:val="24"/>
          <w:szCs w:val="24"/>
        </w:rPr>
      </w:pPr>
      <w:r w:rsidRPr="00286205">
        <w:rPr>
          <w:rStyle w:val="s0"/>
          <w:sz w:val="24"/>
          <w:szCs w:val="24"/>
        </w:rPr>
        <w:t>1) мониторинга и контроля соблюдения обязательств по закупкам в части местного содержания;</w:t>
      </w:r>
    </w:p>
    <w:p w:rsidR="0019751E" w:rsidRPr="00286205" w:rsidRDefault="0019751E" w:rsidP="0019751E">
      <w:pPr>
        <w:ind w:firstLine="400"/>
        <w:jc w:val="both"/>
        <w:rPr>
          <w:sz w:val="24"/>
          <w:szCs w:val="24"/>
        </w:rPr>
      </w:pPr>
      <w:r w:rsidRPr="00286205">
        <w:rPr>
          <w:rStyle w:val="s0"/>
          <w:sz w:val="24"/>
          <w:szCs w:val="24"/>
        </w:rPr>
        <w:t>2) определения степени вовлеченности отечественных предприятий в поставки товаров, работ и услуг;</w:t>
      </w:r>
    </w:p>
    <w:p w:rsidR="0019751E" w:rsidRPr="00286205" w:rsidRDefault="0019751E" w:rsidP="0019751E">
      <w:pPr>
        <w:ind w:firstLine="400"/>
        <w:jc w:val="both"/>
        <w:rPr>
          <w:sz w:val="24"/>
          <w:szCs w:val="24"/>
        </w:rPr>
      </w:pPr>
      <w:r w:rsidRPr="00286205">
        <w:rPr>
          <w:rStyle w:val="s0"/>
          <w:sz w:val="24"/>
          <w:szCs w:val="24"/>
        </w:rPr>
        <w:t>3) оценки уровня конкурентоспособности отечественной промышленности.</w:t>
      </w:r>
    </w:p>
    <w:p w:rsidR="004729E7" w:rsidRDefault="004729E7" w:rsidP="0019751E">
      <w:pPr>
        <w:ind w:firstLine="400"/>
        <w:jc w:val="both"/>
        <w:rPr>
          <w:rStyle w:val="s0"/>
          <w:sz w:val="24"/>
          <w:szCs w:val="24"/>
        </w:rPr>
      </w:pPr>
      <w:bookmarkStart w:id="7" w:name="SUB400"/>
      <w:bookmarkEnd w:id="7"/>
    </w:p>
    <w:p w:rsidR="0019751E" w:rsidRPr="00286205" w:rsidRDefault="0019751E" w:rsidP="0019751E">
      <w:pPr>
        <w:ind w:firstLine="400"/>
        <w:jc w:val="both"/>
        <w:rPr>
          <w:sz w:val="24"/>
          <w:szCs w:val="24"/>
        </w:rPr>
      </w:pPr>
      <w:r w:rsidRPr="00286205">
        <w:rPr>
          <w:rStyle w:val="s0"/>
          <w:sz w:val="24"/>
          <w:szCs w:val="24"/>
        </w:rPr>
        <w:t>4. Расчет местного содержания (МСТ) в договоре на поставку товаров производится по формуле:</w:t>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jc w:val="center"/>
        <w:rPr>
          <w:sz w:val="24"/>
          <w:szCs w:val="24"/>
        </w:rPr>
      </w:pPr>
      <w:r w:rsidRPr="00286205">
        <w:rPr>
          <w:noProof/>
          <w:sz w:val="24"/>
          <w:szCs w:val="24"/>
        </w:rPr>
        <w:drawing>
          <wp:inline distT="0" distB="0" distL="0" distR="0">
            <wp:extent cx="2312035" cy="3625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312035" cy="362585"/>
                    </a:xfrm>
                    <a:prstGeom prst="rect">
                      <a:avLst/>
                    </a:prstGeom>
                    <a:noFill/>
                    <a:ln w="9525">
                      <a:noFill/>
                      <a:miter lim="800000"/>
                      <a:headEnd/>
                      <a:tailEnd/>
                    </a:ln>
                  </pic:spPr>
                </pic:pic>
              </a:graphicData>
            </a:graphic>
          </wp:inline>
        </w:drawing>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F666F5" w:rsidRDefault="00F666F5" w:rsidP="0019751E">
      <w:pPr>
        <w:ind w:firstLine="400"/>
        <w:jc w:val="both"/>
        <w:rPr>
          <w:sz w:val="24"/>
          <w:szCs w:val="24"/>
        </w:rPr>
      </w:pPr>
    </w:p>
    <w:p w:rsidR="00F666F5" w:rsidRDefault="00F666F5" w:rsidP="00F666F5">
      <w:pPr>
        <w:ind w:firstLine="400"/>
        <w:jc w:val="right"/>
        <w:rPr>
          <w:sz w:val="24"/>
          <w:szCs w:val="24"/>
        </w:rPr>
      </w:pPr>
      <w:r>
        <w:rPr>
          <w:sz w:val="24"/>
          <w:szCs w:val="24"/>
        </w:rPr>
        <w:t>29</w:t>
      </w:r>
    </w:p>
    <w:p w:rsidR="0019751E" w:rsidRPr="00286205" w:rsidRDefault="0019751E" w:rsidP="0019751E">
      <w:pPr>
        <w:ind w:firstLine="400"/>
        <w:jc w:val="both"/>
        <w:rPr>
          <w:sz w:val="24"/>
          <w:szCs w:val="24"/>
        </w:rPr>
      </w:pPr>
      <w:proofErr w:type="spellStart"/>
      <w:r w:rsidRPr="00286205">
        <w:rPr>
          <w:sz w:val="24"/>
          <w:szCs w:val="24"/>
        </w:rPr>
        <w:lastRenderedPageBreak/>
        <w:t>n</w:t>
      </w:r>
      <w:proofErr w:type="spellEnd"/>
      <w:r w:rsidRPr="00286205">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19751E" w:rsidRPr="00286205" w:rsidRDefault="0019751E" w:rsidP="0019751E">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поставляемого поставщиком в целях исполнения договора на поставку товаров;</w:t>
      </w:r>
    </w:p>
    <w:p w:rsidR="0019751E" w:rsidRPr="00286205" w:rsidRDefault="0019751E" w:rsidP="0019751E">
      <w:pPr>
        <w:ind w:firstLine="400"/>
        <w:jc w:val="both"/>
        <w:rPr>
          <w:sz w:val="24"/>
          <w:szCs w:val="24"/>
        </w:rPr>
      </w:pPr>
      <w:proofErr w:type="spellStart"/>
      <w:r w:rsidRPr="00286205">
        <w:rPr>
          <w:sz w:val="24"/>
          <w:szCs w:val="24"/>
        </w:rPr>
        <w:t>СТ</w:t>
      </w:r>
      <w:proofErr w:type="gramStart"/>
      <w:r w:rsidRPr="00286205">
        <w:rPr>
          <w:sz w:val="24"/>
          <w:szCs w:val="24"/>
          <w:vertAlign w:val="subscript"/>
        </w:rPr>
        <w:t>i</w:t>
      </w:r>
      <w:proofErr w:type="spellEnd"/>
      <w:proofErr w:type="gramEnd"/>
      <w:r w:rsidRPr="00286205">
        <w:rPr>
          <w:sz w:val="24"/>
          <w:szCs w:val="24"/>
        </w:rPr>
        <w:t xml:space="preserve"> - стоимость i-ого товара;</w:t>
      </w:r>
    </w:p>
    <w:p w:rsidR="0019751E" w:rsidRPr="00286205" w:rsidRDefault="0019751E" w:rsidP="0019751E">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w:t>
      </w:r>
      <w:bookmarkStart w:id="8" w:name="sub1004485223"/>
      <w:r w:rsidR="00EC60F6" w:rsidRPr="00286205">
        <w:rPr>
          <w:sz w:val="24"/>
          <w:szCs w:val="24"/>
        </w:rPr>
        <w:fldChar w:fldCharType="begin"/>
      </w:r>
      <w:r w:rsidRPr="00286205">
        <w:rPr>
          <w:sz w:val="24"/>
          <w:szCs w:val="24"/>
        </w:rPr>
        <w:instrText xml:space="preserve"> HYPERLINK "jl:31681733.5 " </w:instrText>
      </w:r>
      <w:r w:rsidR="00EC60F6" w:rsidRPr="00286205">
        <w:rPr>
          <w:sz w:val="24"/>
          <w:szCs w:val="24"/>
        </w:rPr>
        <w:fldChar w:fldCharType="separate"/>
      </w:r>
      <w:r w:rsidRPr="00286205">
        <w:rPr>
          <w:rStyle w:val="a5"/>
          <w:sz w:val="24"/>
          <w:szCs w:val="24"/>
        </w:rPr>
        <w:t>формы «СТ-KZ»</w:t>
      </w:r>
      <w:r w:rsidR="00EC60F6" w:rsidRPr="00286205">
        <w:rPr>
          <w:sz w:val="24"/>
          <w:szCs w:val="24"/>
        </w:rPr>
        <w:fldChar w:fldCharType="end"/>
      </w:r>
      <w:bookmarkEnd w:id="8"/>
      <w:r w:rsidRPr="00286205">
        <w:rPr>
          <w:sz w:val="24"/>
          <w:szCs w:val="24"/>
        </w:rPr>
        <w:t>, утвержденном Приказом и.о. Министра по инвестициям и развитию Республики Казахстан от 9 января 2015 года № 6 (далее - Сертификат о происхождении товара формы «СТ-KZ»);</w:t>
      </w:r>
    </w:p>
    <w:p w:rsidR="0019751E" w:rsidRPr="00286205" w:rsidRDefault="0019751E" w:rsidP="0019751E">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формы «СТ-</w:t>
      </w:r>
      <w:proofErr w:type="gramStart"/>
      <w:r w:rsidRPr="00286205">
        <w:rPr>
          <w:sz w:val="24"/>
          <w:szCs w:val="24"/>
        </w:rPr>
        <w:t>KZ</w:t>
      </w:r>
      <w:proofErr w:type="gramEnd"/>
      <w:r w:rsidRPr="00286205">
        <w:rPr>
          <w:sz w:val="24"/>
          <w:szCs w:val="24"/>
        </w:rPr>
        <w:t xml:space="preserve">», если иное не установлено </w:t>
      </w:r>
      <w:bookmarkStart w:id="9" w:name="sub1004520447"/>
      <w:r w:rsidR="00EC60F6" w:rsidRPr="00286205">
        <w:rPr>
          <w:sz w:val="24"/>
          <w:szCs w:val="24"/>
        </w:rPr>
        <w:fldChar w:fldCharType="begin"/>
      </w:r>
      <w:r w:rsidRPr="00286205">
        <w:rPr>
          <w:sz w:val="24"/>
          <w:szCs w:val="24"/>
        </w:rPr>
        <w:instrText xml:space="preserve"> HYPERLINK "jl:34304642.700 " </w:instrText>
      </w:r>
      <w:r w:rsidR="00EC60F6" w:rsidRPr="00286205">
        <w:rPr>
          <w:sz w:val="24"/>
          <w:szCs w:val="24"/>
        </w:rPr>
        <w:fldChar w:fldCharType="separate"/>
      </w:r>
      <w:r w:rsidRPr="00286205">
        <w:rPr>
          <w:rStyle w:val="a5"/>
          <w:sz w:val="24"/>
          <w:szCs w:val="24"/>
        </w:rPr>
        <w:t>пунктом 7</w:t>
      </w:r>
      <w:r w:rsidR="00EC60F6" w:rsidRPr="00286205">
        <w:rPr>
          <w:sz w:val="24"/>
          <w:szCs w:val="24"/>
        </w:rPr>
        <w:fldChar w:fldCharType="end"/>
      </w:r>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19751E" w:rsidRPr="00286205" w:rsidRDefault="0019751E" w:rsidP="0019751E">
      <w:pPr>
        <w:ind w:firstLine="400"/>
        <w:jc w:val="both"/>
        <w:rPr>
          <w:sz w:val="24"/>
          <w:szCs w:val="24"/>
        </w:rPr>
      </w:pPr>
      <w:r w:rsidRPr="00286205">
        <w:rPr>
          <w:sz w:val="24"/>
          <w:szCs w:val="24"/>
        </w:rPr>
        <w:t>S - общая стоимость договора.</w:t>
      </w:r>
    </w:p>
    <w:p w:rsidR="0019751E" w:rsidRPr="00286205" w:rsidRDefault="0019751E" w:rsidP="0019751E">
      <w:pPr>
        <w:ind w:firstLine="400"/>
        <w:jc w:val="both"/>
        <w:rPr>
          <w:sz w:val="24"/>
          <w:szCs w:val="24"/>
        </w:rPr>
      </w:pPr>
      <w:bookmarkStart w:id="10" w:name="SUB500"/>
      <w:bookmarkEnd w:id="10"/>
      <w:r w:rsidRPr="00286205">
        <w:rPr>
          <w:sz w:val="24"/>
          <w:szCs w:val="24"/>
        </w:rPr>
        <w:t>5. Расчет местного содержания (</w:t>
      </w:r>
      <w:proofErr w:type="spellStart"/>
      <w:r w:rsidRPr="00286205">
        <w:rPr>
          <w:sz w:val="24"/>
          <w:szCs w:val="24"/>
        </w:rPr>
        <w:t>МС</w:t>
      </w:r>
      <w:r w:rsidRPr="00286205">
        <w:rPr>
          <w:sz w:val="24"/>
          <w:szCs w:val="24"/>
          <w:vertAlign w:val="subscript"/>
        </w:rPr>
        <w:t>р</w:t>
      </w:r>
      <w:proofErr w:type="spellEnd"/>
      <w:r w:rsidRPr="00286205">
        <w:rPr>
          <w:sz w:val="24"/>
          <w:szCs w:val="24"/>
          <w:vertAlign w:val="subscript"/>
        </w:rPr>
        <w:t>/</w:t>
      </w:r>
      <w:proofErr w:type="spellStart"/>
      <w:r w:rsidRPr="00286205">
        <w:rPr>
          <w:sz w:val="24"/>
          <w:szCs w:val="24"/>
          <w:vertAlign w:val="subscript"/>
        </w:rPr>
        <w:t>y</w:t>
      </w:r>
      <w:proofErr w:type="spellEnd"/>
      <w:r w:rsidRPr="00286205">
        <w:rPr>
          <w:sz w:val="24"/>
          <w:szCs w:val="24"/>
        </w:rPr>
        <w:t>) в договоре на выполнение работы (оказание услуги), производится по формуле:</w:t>
      </w:r>
    </w:p>
    <w:p w:rsidR="0019751E" w:rsidRPr="00286205" w:rsidRDefault="0019751E" w:rsidP="0019751E">
      <w:pPr>
        <w:rPr>
          <w:sz w:val="24"/>
          <w:szCs w:val="24"/>
        </w:rPr>
      </w:pPr>
      <w:r w:rsidRPr="00286205">
        <w:rPr>
          <w:sz w:val="24"/>
          <w:szCs w:val="24"/>
        </w:rPr>
        <w:t> </w:t>
      </w:r>
    </w:p>
    <w:p w:rsidR="0019751E" w:rsidRPr="00286205" w:rsidRDefault="0019751E" w:rsidP="0019751E">
      <w:pPr>
        <w:jc w:val="center"/>
        <w:rPr>
          <w:sz w:val="24"/>
          <w:szCs w:val="24"/>
        </w:rPr>
      </w:pPr>
      <w:r w:rsidRPr="00286205">
        <w:rPr>
          <w:noProof/>
          <w:sz w:val="24"/>
          <w:szCs w:val="24"/>
        </w:rPr>
        <w:drawing>
          <wp:inline distT="0" distB="0" distL="0" distR="0">
            <wp:extent cx="4399280" cy="387985"/>
            <wp:effectExtent l="19050" t="0" r="127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399280" cy="387985"/>
                    </a:xfrm>
                    <a:prstGeom prst="rect">
                      <a:avLst/>
                    </a:prstGeom>
                    <a:noFill/>
                    <a:ln w="9525">
                      <a:noFill/>
                      <a:miter lim="800000"/>
                      <a:headEnd/>
                      <a:tailEnd/>
                    </a:ln>
                  </pic:spPr>
                </pic:pic>
              </a:graphicData>
            </a:graphic>
          </wp:inline>
        </w:drawing>
      </w:r>
    </w:p>
    <w:p w:rsidR="0019751E" w:rsidRPr="00286205" w:rsidRDefault="0019751E" w:rsidP="0019751E">
      <w:pPr>
        <w:jc w:val="center"/>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19751E" w:rsidRPr="00286205" w:rsidRDefault="0019751E" w:rsidP="0019751E">
      <w:pPr>
        <w:ind w:firstLine="400"/>
        <w:jc w:val="both"/>
        <w:rPr>
          <w:sz w:val="24"/>
          <w:szCs w:val="24"/>
        </w:rPr>
      </w:pPr>
      <w:proofErr w:type="spellStart"/>
      <w:r w:rsidRPr="00286205">
        <w:rPr>
          <w:sz w:val="24"/>
          <w:szCs w:val="24"/>
        </w:rPr>
        <w:t>m</w:t>
      </w:r>
      <w:proofErr w:type="spellEnd"/>
      <w:r w:rsidRPr="00286205">
        <w:rPr>
          <w:sz w:val="24"/>
          <w:szCs w:val="24"/>
        </w:rPr>
        <w:t xml:space="preserve"> - общее количество </w:t>
      </w:r>
      <w:proofErr w:type="spellStart"/>
      <w:r w:rsidRPr="00286205">
        <w:rPr>
          <w:sz w:val="24"/>
          <w:szCs w:val="24"/>
        </w:rPr>
        <w:t>j-ых</w:t>
      </w:r>
      <w:proofErr w:type="spellEnd"/>
      <w:r w:rsidRPr="00286205">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19751E" w:rsidRPr="00286205" w:rsidRDefault="0019751E" w:rsidP="0019751E">
      <w:pPr>
        <w:ind w:firstLine="400"/>
        <w:jc w:val="both"/>
        <w:rPr>
          <w:sz w:val="24"/>
          <w:szCs w:val="24"/>
        </w:rPr>
      </w:pPr>
      <w:proofErr w:type="spellStart"/>
      <w:r w:rsidRPr="00286205">
        <w:rPr>
          <w:sz w:val="24"/>
          <w:szCs w:val="24"/>
        </w:rPr>
        <w:t>j</w:t>
      </w:r>
      <w:proofErr w:type="spellEnd"/>
      <w:r w:rsidRPr="00286205">
        <w:rPr>
          <w:sz w:val="24"/>
          <w:szCs w:val="24"/>
        </w:rPr>
        <w:t xml:space="preserve"> - порядковый номер договора, заключенного в целях выполнения работы (оказания услуги);</w:t>
      </w:r>
    </w:p>
    <w:p w:rsidR="0019751E" w:rsidRPr="00286205" w:rsidRDefault="0019751E" w:rsidP="0019751E">
      <w:pPr>
        <w:ind w:firstLine="400"/>
        <w:jc w:val="both"/>
        <w:rPr>
          <w:sz w:val="24"/>
          <w:szCs w:val="24"/>
        </w:rPr>
      </w:pPr>
      <w:proofErr w:type="spellStart"/>
      <w:r w:rsidRPr="00286205">
        <w:rPr>
          <w:sz w:val="24"/>
          <w:szCs w:val="24"/>
        </w:rPr>
        <w:t>СД</w:t>
      </w:r>
      <w:proofErr w:type="gramStart"/>
      <w:r w:rsidRPr="00286205">
        <w:rPr>
          <w:sz w:val="24"/>
          <w:szCs w:val="24"/>
          <w:vertAlign w:val="subscript"/>
        </w:rPr>
        <w:t>j</w:t>
      </w:r>
      <w:proofErr w:type="spellEnd"/>
      <w:proofErr w:type="gramEnd"/>
      <w:r w:rsidRPr="00286205">
        <w:rPr>
          <w:sz w:val="24"/>
          <w:szCs w:val="24"/>
        </w:rPr>
        <w:t xml:space="preserve"> - стоимость j-ого договора;</w:t>
      </w:r>
    </w:p>
    <w:p w:rsidR="0019751E" w:rsidRPr="00286205" w:rsidRDefault="0019751E" w:rsidP="0019751E">
      <w:pPr>
        <w:ind w:firstLine="400"/>
        <w:jc w:val="both"/>
        <w:rPr>
          <w:sz w:val="24"/>
          <w:szCs w:val="24"/>
        </w:rPr>
      </w:pPr>
      <w:proofErr w:type="spellStart"/>
      <w:r w:rsidRPr="00286205">
        <w:rPr>
          <w:sz w:val="24"/>
          <w:szCs w:val="24"/>
        </w:rPr>
        <w:t>CT</w:t>
      </w:r>
      <w:r w:rsidRPr="00286205">
        <w:rPr>
          <w:sz w:val="24"/>
          <w:szCs w:val="24"/>
          <w:vertAlign w:val="subscript"/>
        </w:rPr>
        <w:t>j</w:t>
      </w:r>
      <w:proofErr w:type="spellEnd"/>
      <w:r w:rsidRPr="00286205">
        <w:rPr>
          <w:sz w:val="24"/>
          <w:szCs w:val="24"/>
        </w:rPr>
        <w:t xml:space="preserve"> - суммарная стоимость товаров, закупленных поставщиком или субподрядчиком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ССД</w:t>
      </w:r>
      <w:proofErr w:type="gramStart"/>
      <w:r w:rsidRPr="00286205">
        <w:rPr>
          <w:sz w:val="24"/>
          <w:szCs w:val="24"/>
          <w:vertAlign w:val="subscript"/>
        </w:rPr>
        <w:t>j</w:t>
      </w:r>
      <w:proofErr w:type="spellEnd"/>
      <w:proofErr w:type="gramEnd"/>
      <w:r w:rsidRPr="00286205">
        <w:rPr>
          <w:sz w:val="24"/>
          <w:szCs w:val="24"/>
        </w:rPr>
        <w:t xml:space="preserve"> - суммарная стоимость договоров субподряда, заключенных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w:t>
      </w:r>
    </w:p>
    <w:p w:rsidR="0019751E" w:rsidRPr="00286205" w:rsidRDefault="0019751E" w:rsidP="0019751E">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закупленных поставщиком или субподрядчиком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закупленного поставщиком или субподрядчиком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CT</w:t>
      </w:r>
      <w:r w:rsidRPr="00286205">
        <w:rPr>
          <w:sz w:val="24"/>
          <w:szCs w:val="24"/>
          <w:vertAlign w:val="subscript"/>
        </w:rPr>
        <w:t>i</w:t>
      </w:r>
      <w:proofErr w:type="spellEnd"/>
      <w:r w:rsidRPr="00286205">
        <w:rPr>
          <w:sz w:val="24"/>
          <w:szCs w:val="24"/>
        </w:rPr>
        <w:t xml:space="preserve"> - стоимость i-ого товара;</w:t>
      </w:r>
    </w:p>
    <w:p w:rsidR="0019751E" w:rsidRPr="00286205" w:rsidRDefault="0019751E" w:rsidP="0019751E">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формы «СТ-KZ»;</w:t>
      </w:r>
    </w:p>
    <w:p w:rsidR="0019751E" w:rsidRPr="00286205" w:rsidRDefault="0019751E" w:rsidP="0019751E">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w:t>
      </w:r>
      <w:bookmarkStart w:id="11" w:name="sub1004520450"/>
      <w:r w:rsidR="00EC60F6" w:rsidRPr="00286205">
        <w:rPr>
          <w:sz w:val="24"/>
          <w:szCs w:val="24"/>
        </w:rPr>
        <w:fldChar w:fldCharType="begin"/>
      </w:r>
      <w:r w:rsidRPr="00286205">
        <w:rPr>
          <w:sz w:val="24"/>
          <w:szCs w:val="24"/>
        </w:rPr>
        <w:instrText xml:space="preserve"> HYPERLINK "jl:34304642.500 " </w:instrText>
      </w:r>
      <w:r w:rsidR="00EC60F6" w:rsidRPr="00286205">
        <w:rPr>
          <w:sz w:val="24"/>
          <w:szCs w:val="24"/>
        </w:rPr>
        <w:fldChar w:fldCharType="separate"/>
      </w:r>
      <w:r w:rsidRPr="00286205">
        <w:rPr>
          <w:rStyle w:val="a5"/>
          <w:sz w:val="24"/>
          <w:szCs w:val="24"/>
        </w:rPr>
        <w:t>формы «СТ-</w:t>
      </w:r>
      <w:proofErr w:type="gramStart"/>
      <w:r w:rsidRPr="00286205">
        <w:rPr>
          <w:rStyle w:val="a5"/>
          <w:sz w:val="24"/>
          <w:szCs w:val="24"/>
        </w:rPr>
        <w:t>KZ</w:t>
      </w:r>
      <w:proofErr w:type="gramEnd"/>
      <w:r w:rsidRPr="00286205">
        <w:rPr>
          <w:rStyle w:val="a5"/>
          <w:sz w:val="24"/>
          <w:szCs w:val="24"/>
        </w:rPr>
        <w:t>»</w:t>
      </w:r>
      <w:r w:rsidR="00EC60F6" w:rsidRPr="00286205">
        <w:rPr>
          <w:sz w:val="24"/>
          <w:szCs w:val="24"/>
        </w:rPr>
        <w:fldChar w:fldCharType="end"/>
      </w:r>
      <w:bookmarkEnd w:id="11"/>
      <w:r w:rsidRPr="00286205">
        <w:rPr>
          <w:sz w:val="24"/>
          <w:szCs w:val="24"/>
        </w:rPr>
        <w:t xml:space="preserve">, если иное не установлено </w:t>
      </w:r>
      <w:hyperlink r:id="rId14" w:history="1">
        <w:r w:rsidRPr="00286205">
          <w:rPr>
            <w:rStyle w:val="a5"/>
            <w:sz w:val="24"/>
            <w:szCs w:val="24"/>
          </w:rPr>
          <w:t>пунктом 7</w:t>
        </w:r>
      </w:hyperlink>
      <w:bookmarkEnd w:id="9"/>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19751E" w:rsidRDefault="0019751E" w:rsidP="0019751E">
      <w:pPr>
        <w:ind w:firstLine="400"/>
        <w:jc w:val="both"/>
        <w:rPr>
          <w:sz w:val="24"/>
          <w:szCs w:val="24"/>
        </w:rPr>
      </w:pPr>
      <w:r w:rsidRPr="00286205">
        <w:rPr>
          <w:sz w:val="24"/>
          <w:szCs w:val="24"/>
        </w:rPr>
        <w:t>S - общая стоимость договора.</w:t>
      </w:r>
    </w:p>
    <w:p w:rsidR="0019751E" w:rsidRPr="00286205" w:rsidRDefault="0019751E" w:rsidP="0019751E">
      <w:pPr>
        <w:ind w:firstLine="400"/>
        <w:jc w:val="both"/>
        <w:rPr>
          <w:sz w:val="24"/>
          <w:szCs w:val="24"/>
        </w:rPr>
      </w:pPr>
      <w:bookmarkStart w:id="12" w:name="SUB50100"/>
      <w:bookmarkEnd w:id="12"/>
      <w:r w:rsidRPr="00286205">
        <w:rPr>
          <w:sz w:val="24"/>
          <w:szCs w:val="24"/>
        </w:rPr>
        <w:t xml:space="preserve">5-1. </w:t>
      </w: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рассчитывается по следующей формуле:</w:t>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jc w:val="center"/>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ФОТРК/ФОТ,</w:t>
      </w:r>
    </w:p>
    <w:p w:rsidR="0019751E" w:rsidRDefault="0019751E" w:rsidP="0019751E">
      <w:pPr>
        <w:jc w:val="center"/>
        <w:rPr>
          <w:sz w:val="24"/>
          <w:szCs w:val="24"/>
        </w:rPr>
      </w:pPr>
      <w:r w:rsidRPr="00286205">
        <w:rPr>
          <w:sz w:val="24"/>
          <w:szCs w:val="24"/>
        </w:rPr>
        <w:t> </w:t>
      </w:r>
    </w:p>
    <w:p w:rsidR="00F666F5" w:rsidRDefault="00F666F5" w:rsidP="0019751E">
      <w:pPr>
        <w:jc w:val="center"/>
        <w:rPr>
          <w:sz w:val="24"/>
          <w:szCs w:val="24"/>
        </w:rPr>
      </w:pPr>
    </w:p>
    <w:p w:rsidR="00F666F5" w:rsidRPr="00286205" w:rsidRDefault="00F666F5" w:rsidP="0019751E">
      <w:pPr>
        <w:jc w:val="center"/>
        <w:rPr>
          <w:sz w:val="24"/>
          <w:szCs w:val="24"/>
        </w:rPr>
      </w:pPr>
    </w:p>
    <w:p w:rsidR="00F666F5" w:rsidRDefault="00F666F5" w:rsidP="00F666F5">
      <w:pPr>
        <w:spacing w:after="200" w:line="276" w:lineRule="auto"/>
        <w:jc w:val="right"/>
        <w:rPr>
          <w:rStyle w:val="s0"/>
          <w:sz w:val="24"/>
          <w:szCs w:val="24"/>
        </w:rPr>
      </w:pPr>
      <w:r>
        <w:rPr>
          <w:rStyle w:val="s0"/>
          <w:sz w:val="24"/>
          <w:szCs w:val="24"/>
        </w:rPr>
        <w:t>30</w:t>
      </w:r>
    </w:p>
    <w:p w:rsidR="0019751E" w:rsidRPr="00286205" w:rsidRDefault="0019751E" w:rsidP="0019751E">
      <w:pPr>
        <w:ind w:firstLine="400"/>
        <w:jc w:val="both"/>
        <w:rPr>
          <w:sz w:val="24"/>
          <w:szCs w:val="24"/>
        </w:rPr>
      </w:pPr>
      <w:r w:rsidRPr="00286205">
        <w:rPr>
          <w:rStyle w:val="s0"/>
          <w:sz w:val="24"/>
          <w:szCs w:val="24"/>
        </w:rPr>
        <w:lastRenderedPageBreak/>
        <w:t>где:</w:t>
      </w:r>
    </w:p>
    <w:p w:rsidR="0019751E" w:rsidRPr="00286205" w:rsidRDefault="0019751E" w:rsidP="0019751E">
      <w:pPr>
        <w:ind w:firstLine="400"/>
        <w:jc w:val="both"/>
        <w:rPr>
          <w:sz w:val="24"/>
          <w:szCs w:val="24"/>
        </w:rPr>
      </w:pPr>
      <w:r w:rsidRPr="00286205">
        <w:rPr>
          <w:sz w:val="24"/>
          <w:szCs w:val="24"/>
        </w:rPr>
        <w:t xml:space="preserve">ФОТРК - фонд оплаты труда казахстанских кадров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19751E" w:rsidRPr="00286205" w:rsidRDefault="0019751E" w:rsidP="0019751E">
      <w:pPr>
        <w:ind w:firstLine="400"/>
        <w:jc w:val="both"/>
        <w:rPr>
          <w:sz w:val="24"/>
          <w:szCs w:val="24"/>
        </w:rPr>
      </w:pPr>
      <w:r w:rsidRPr="00286205">
        <w:rPr>
          <w:sz w:val="24"/>
          <w:szCs w:val="24"/>
        </w:rPr>
        <w:t xml:space="preserve">ФОТ - общий фонд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19751E" w:rsidRPr="00286205" w:rsidRDefault="0019751E" w:rsidP="0019751E">
      <w:pPr>
        <w:ind w:firstLine="400"/>
        <w:jc w:val="both"/>
        <w:rPr>
          <w:sz w:val="24"/>
          <w:szCs w:val="24"/>
        </w:rPr>
      </w:pPr>
      <w:bookmarkStart w:id="13" w:name="SUB600"/>
      <w:bookmarkEnd w:id="13"/>
      <w:r w:rsidRPr="00286205">
        <w:rPr>
          <w:sz w:val="24"/>
          <w:szCs w:val="24"/>
        </w:rPr>
        <w:t>6. Расчет местного содержания (МС) в закупках заказчика за отчетный период производится по формуле:</w:t>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jc w:val="center"/>
        <w:rPr>
          <w:sz w:val="24"/>
          <w:szCs w:val="24"/>
        </w:rPr>
      </w:pPr>
      <w:r w:rsidRPr="00286205">
        <w:rPr>
          <w:noProof/>
          <w:sz w:val="24"/>
          <w:szCs w:val="24"/>
        </w:rPr>
        <w:drawing>
          <wp:inline distT="0" distB="0" distL="0" distR="0">
            <wp:extent cx="1776730" cy="362585"/>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776730" cy="362585"/>
                    </a:xfrm>
                    <a:prstGeom prst="rect">
                      <a:avLst/>
                    </a:prstGeom>
                    <a:noFill/>
                    <a:ln w="9525">
                      <a:noFill/>
                      <a:miter lim="800000"/>
                      <a:headEnd/>
                      <a:tailEnd/>
                    </a:ln>
                  </pic:spPr>
                </pic:pic>
              </a:graphicData>
            </a:graphic>
          </wp:inline>
        </w:drawing>
      </w:r>
    </w:p>
    <w:p w:rsidR="0019751E" w:rsidRPr="00286205" w:rsidRDefault="0019751E" w:rsidP="0019751E">
      <w:pPr>
        <w:jc w:val="center"/>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19751E" w:rsidRPr="00286205" w:rsidRDefault="0019751E" w:rsidP="0019751E">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договоров о закупках;</w:t>
      </w:r>
    </w:p>
    <w:p w:rsidR="0019751E" w:rsidRPr="00286205" w:rsidRDefault="0019751E" w:rsidP="0019751E">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договора о закупках;</w:t>
      </w:r>
    </w:p>
    <w:p w:rsidR="0019751E" w:rsidRPr="00286205" w:rsidRDefault="0019751E" w:rsidP="0019751E">
      <w:pPr>
        <w:ind w:firstLine="400"/>
        <w:jc w:val="both"/>
        <w:rPr>
          <w:sz w:val="24"/>
          <w:szCs w:val="24"/>
        </w:rPr>
      </w:pPr>
      <w:proofErr w:type="spellStart"/>
      <w:r w:rsidRPr="00286205">
        <w:rPr>
          <w:sz w:val="24"/>
          <w:szCs w:val="24"/>
        </w:rPr>
        <w:t>MC</w:t>
      </w:r>
      <w:r w:rsidRPr="00286205">
        <w:rPr>
          <w:sz w:val="24"/>
          <w:szCs w:val="24"/>
          <w:vertAlign w:val="subscript"/>
        </w:rPr>
        <w:t>i</w:t>
      </w:r>
      <w:proofErr w:type="spellEnd"/>
      <w:r w:rsidRPr="00286205">
        <w:rPr>
          <w:sz w:val="24"/>
          <w:szCs w:val="24"/>
        </w:rPr>
        <w:t xml:space="preserve"> - местное содержание в </w:t>
      </w:r>
      <w:proofErr w:type="spellStart"/>
      <w:r w:rsidRPr="00286205">
        <w:rPr>
          <w:sz w:val="24"/>
          <w:szCs w:val="24"/>
        </w:rPr>
        <w:t>i-ом</w:t>
      </w:r>
      <w:proofErr w:type="spellEnd"/>
      <w:r w:rsidRPr="00286205">
        <w:rPr>
          <w:sz w:val="24"/>
          <w:szCs w:val="24"/>
        </w:rPr>
        <w:t xml:space="preserve"> договоре о закупках;</w:t>
      </w:r>
    </w:p>
    <w:p w:rsidR="0019751E" w:rsidRPr="00286205" w:rsidRDefault="0019751E" w:rsidP="0019751E">
      <w:pPr>
        <w:ind w:firstLine="400"/>
        <w:jc w:val="both"/>
        <w:rPr>
          <w:sz w:val="24"/>
          <w:szCs w:val="24"/>
        </w:rPr>
      </w:pPr>
      <w:proofErr w:type="spellStart"/>
      <w:r w:rsidRPr="00286205">
        <w:rPr>
          <w:sz w:val="24"/>
          <w:szCs w:val="24"/>
        </w:rPr>
        <w:t>СД</w:t>
      </w:r>
      <w:proofErr w:type="gramStart"/>
      <w:r w:rsidRPr="00286205">
        <w:rPr>
          <w:sz w:val="24"/>
          <w:szCs w:val="24"/>
          <w:vertAlign w:val="subscript"/>
        </w:rPr>
        <w:t>i</w:t>
      </w:r>
      <w:proofErr w:type="spellEnd"/>
      <w:proofErr w:type="gramEnd"/>
      <w:r w:rsidRPr="00286205">
        <w:rPr>
          <w:sz w:val="24"/>
          <w:szCs w:val="24"/>
        </w:rPr>
        <w:t xml:space="preserve"> - стоимость i-ого договора о закупках;</w:t>
      </w:r>
    </w:p>
    <w:p w:rsidR="0019751E" w:rsidRPr="00286205" w:rsidRDefault="0019751E" w:rsidP="0019751E">
      <w:pPr>
        <w:ind w:firstLine="400"/>
        <w:jc w:val="both"/>
        <w:rPr>
          <w:sz w:val="24"/>
          <w:szCs w:val="24"/>
        </w:rPr>
      </w:pPr>
      <w:r w:rsidRPr="00286205">
        <w:rPr>
          <w:sz w:val="24"/>
          <w:szCs w:val="24"/>
        </w:rPr>
        <w:t>S - общая стоимость договоров.</w:t>
      </w:r>
    </w:p>
    <w:p w:rsidR="0019751E" w:rsidRPr="00286205" w:rsidRDefault="0019751E" w:rsidP="0019751E">
      <w:pPr>
        <w:ind w:firstLine="400"/>
        <w:jc w:val="both"/>
        <w:rPr>
          <w:sz w:val="24"/>
          <w:szCs w:val="24"/>
        </w:rPr>
      </w:pPr>
      <w:r w:rsidRPr="00286205">
        <w:rPr>
          <w:sz w:val="24"/>
          <w:szCs w:val="24"/>
        </w:rPr>
        <w:t> </w:t>
      </w:r>
    </w:p>
    <w:p w:rsidR="0019751E" w:rsidRPr="00286205" w:rsidRDefault="0019751E" w:rsidP="0019751E">
      <w:pPr>
        <w:ind w:firstLine="400"/>
        <w:jc w:val="both"/>
        <w:rPr>
          <w:sz w:val="24"/>
          <w:szCs w:val="24"/>
        </w:rPr>
      </w:pPr>
      <w:bookmarkStart w:id="14" w:name="SUB700"/>
      <w:bookmarkEnd w:id="14"/>
      <w:r w:rsidRPr="00286205">
        <w:rPr>
          <w:sz w:val="24"/>
          <w:szCs w:val="24"/>
        </w:rPr>
        <w:t xml:space="preserve">7. При расчете местного содержания по договорам с субъектами естественных монополий, включенных в </w:t>
      </w:r>
      <w:bookmarkStart w:id="15" w:name="sub1000315714"/>
      <w:r w:rsidR="00EC60F6" w:rsidRPr="00286205">
        <w:rPr>
          <w:sz w:val="24"/>
          <w:szCs w:val="24"/>
        </w:rPr>
        <w:fldChar w:fldCharType="begin"/>
      </w:r>
      <w:r w:rsidRPr="00286205">
        <w:rPr>
          <w:sz w:val="24"/>
          <w:szCs w:val="24"/>
        </w:rPr>
        <w:instrText xml:space="preserve"> HYPERLINK "jl:30004913.0 " </w:instrText>
      </w:r>
      <w:r w:rsidR="00EC60F6" w:rsidRPr="00286205">
        <w:rPr>
          <w:sz w:val="24"/>
          <w:szCs w:val="24"/>
        </w:rPr>
        <w:fldChar w:fldCharType="separate"/>
      </w:r>
      <w:r w:rsidRPr="00286205">
        <w:rPr>
          <w:rStyle w:val="a5"/>
          <w:sz w:val="24"/>
          <w:szCs w:val="24"/>
        </w:rPr>
        <w:t>Государственный регистр</w:t>
      </w:r>
      <w:r w:rsidR="00EC60F6" w:rsidRPr="00286205">
        <w:rPr>
          <w:sz w:val="24"/>
          <w:szCs w:val="24"/>
        </w:rPr>
        <w:fldChar w:fldCharType="end"/>
      </w:r>
      <w:bookmarkEnd w:id="15"/>
      <w:r w:rsidRPr="00286205">
        <w:rPr>
          <w:sz w:val="24"/>
          <w:szCs w:val="24"/>
        </w:rPr>
        <w:t xml:space="preserve"> субъектов естественных монополий, коэффициент </w:t>
      </w:r>
      <w:proofErr w:type="spellStart"/>
      <w:r w:rsidRPr="00286205">
        <w:rPr>
          <w:sz w:val="24"/>
          <w:szCs w:val="24"/>
        </w:rPr>
        <w:t>Ki</w:t>
      </w:r>
      <w:proofErr w:type="spellEnd"/>
      <w:r w:rsidRPr="00286205">
        <w:rPr>
          <w:sz w:val="24"/>
          <w:szCs w:val="24"/>
        </w:rPr>
        <w:t xml:space="preserve"> и </w:t>
      </w:r>
      <w:proofErr w:type="spellStart"/>
      <w:r w:rsidRPr="00286205">
        <w:rPr>
          <w:sz w:val="24"/>
          <w:szCs w:val="24"/>
        </w:rPr>
        <w:t>Rj</w:t>
      </w:r>
      <w:proofErr w:type="spellEnd"/>
      <w:r w:rsidRPr="00286205">
        <w:rPr>
          <w:sz w:val="24"/>
          <w:szCs w:val="24"/>
        </w:rPr>
        <w:t xml:space="preserve"> приравнивается к единице.</w:t>
      </w:r>
    </w:p>
    <w:p w:rsidR="0019751E" w:rsidRPr="00286205" w:rsidRDefault="0019751E" w:rsidP="0019751E">
      <w:pPr>
        <w:ind w:firstLine="403"/>
        <w:rPr>
          <w:sz w:val="24"/>
          <w:szCs w:val="24"/>
        </w:rPr>
      </w:pPr>
      <w:r w:rsidRPr="00286205">
        <w:rPr>
          <w:sz w:val="24"/>
          <w:szCs w:val="24"/>
        </w:rPr>
        <w:t> </w:t>
      </w:r>
    </w:p>
    <w:p w:rsidR="00DC1D6F" w:rsidRPr="00286205" w:rsidRDefault="00DC1D6F" w:rsidP="00DC1D6F">
      <w:pPr>
        <w:autoSpaceDE w:val="0"/>
        <w:autoSpaceDN w:val="0"/>
        <w:ind w:firstLine="403"/>
        <w:rPr>
          <w:sz w:val="24"/>
          <w:szCs w:val="24"/>
        </w:rPr>
      </w:pPr>
      <w:r w:rsidRPr="00286205">
        <w:rPr>
          <w:rStyle w:val="s0"/>
          <w:sz w:val="24"/>
          <w:szCs w:val="24"/>
        </w:rPr>
        <w:t> </w:t>
      </w:r>
    </w:p>
    <w:p w:rsidR="00C20EB6" w:rsidRPr="00286205" w:rsidRDefault="00C20EB6" w:rsidP="00DC1D6F">
      <w:pPr>
        <w:spacing w:after="200" w:line="276" w:lineRule="auto"/>
        <w:rPr>
          <w:sz w:val="24"/>
          <w:szCs w:val="24"/>
        </w:rPr>
      </w:pPr>
      <w:bookmarkStart w:id="16" w:name="SUB1"/>
      <w:bookmarkEnd w:id="16"/>
    </w:p>
    <w:p w:rsidR="005A1734" w:rsidRDefault="005A1734"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C20EB6" w:rsidRDefault="00C20EB6" w:rsidP="00FF78F8">
      <w:pPr>
        <w:autoSpaceDE w:val="0"/>
        <w:autoSpaceDN w:val="0"/>
        <w:ind w:left="4820"/>
        <w:jc w:val="right"/>
        <w:rPr>
          <w:sz w:val="24"/>
          <w:szCs w:val="24"/>
        </w:rPr>
      </w:pPr>
    </w:p>
    <w:p w:rsidR="00620880" w:rsidRDefault="00620880" w:rsidP="00FF78F8">
      <w:pPr>
        <w:autoSpaceDE w:val="0"/>
        <w:autoSpaceDN w:val="0"/>
        <w:ind w:left="4820"/>
        <w:jc w:val="right"/>
        <w:rPr>
          <w:sz w:val="24"/>
          <w:szCs w:val="24"/>
        </w:rPr>
      </w:pPr>
    </w:p>
    <w:p w:rsidR="00620880" w:rsidRDefault="00620880" w:rsidP="00FF78F8">
      <w:pPr>
        <w:autoSpaceDE w:val="0"/>
        <w:autoSpaceDN w:val="0"/>
        <w:ind w:left="4820"/>
        <w:jc w:val="right"/>
        <w:rPr>
          <w:sz w:val="24"/>
          <w:szCs w:val="24"/>
        </w:rPr>
      </w:pPr>
    </w:p>
    <w:p w:rsidR="00620880" w:rsidRDefault="00620880" w:rsidP="00FF78F8">
      <w:pPr>
        <w:autoSpaceDE w:val="0"/>
        <w:autoSpaceDN w:val="0"/>
        <w:ind w:left="4820"/>
        <w:jc w:val="right"/>
        <w:rPr>
          <w:sz w:val="24"/>
          <w:szCs w:val="24"/>
        </w:rPr>
      </w:pPr>
    </w:p>
    <w:p w:rsidR="00620880" w:rsidRDefault="00620880" w:rsidP="00FF78F8">
      <w:pPr>
        <w:autoSpaceDE w:val="0"/>
        <w:autoSpaceDN w:val="0"/>
        <w:ind w:left="4820"/>
        <w:jc w:val="right"/>
        <w:rPr>
          <w:sz w:val="24"/>
          <w:szCs w:val="24"/>
        </w:rPr>
      </w:pPr>
    </w:p>
    <w:p w:rsidR="00620880" w:rsidRDefault="00620880" w:rsidP="00FF78F8">
      <w:pPr>
        <w:autoSpaceDE w:val="0"/>
        <w:autoSpaceDN w:val="0"/>
        <w:ind w:left="4820"/>
        <w:jc w:val="right"/>
        <w:rPr>
          <w:sz w:val="24"/>
          <w:szCs w:val="24"/>
        </w:rPr>
      </w:pPr>
    </w:p>
    <w:p w:rsidR="00620880" w:rsidRDefault="00F666F5" w:rsidP="00FF78F8">
      <w:pPr>
        <w:autoSpaceDE w:val="0"/>
        <w:autoSpaceDN w:val="0"/>
        <w:ind w:left="4820"/>
        <w:jc w:val="right"/>
        <w:rPr>
          <w:sz w:val="24"/>
          <w:szCs w:val="24"/>
        </w:rPr>
      </w:pPr>
      <w:r>
        <w:rPr>
          <w:sz w:val="24"/>
          <w:szCs w:val="24"/>
        </w:rPr>
        <w:t>31</w:t>
      </w:r>
    </w:p>
    <w:p w:rsidR="004729E7" w:rsidRPr="004E7324" w:rsidRDefault="004729E7" w:rsidP="00620880">
      <w:pPr>
        <w:tabs>
          <w:tab w:val="left" w:pos="5387"/>
        </w:tabs>
        <w:ind w:left="5387"/>
        <w:rPr>
          <w:sz w:val="24"/>
          <w:szCs w:val="24"/>
        </w:rPr>
      </w:pPr>
      <w:r w:rsidRPr="004E7324">
        <w:rPr>
          <w:bCs/>
          <w:sz w:val="24"/>
          <w:szCs w:val="24"/>
        </w:rPr>
        <w:lastRenderedPageBreak/>
        <w:t xml:space="preserve">Приложение </w:t>
      </w:r>
      <w:r>
        <w:rPr>
          <w:bCs/>
          <w:sz w:val="24"/>
          <w:szCs w:val="24"/>
        </w:rPr>
        <w:t>3</w:t>
      </w:r>
      <w:r w:rsidRPr="004E7324">
        <w:rPr>
          <w:bCs/>
          <w:sz w:val="24"/>
          <w:szCs w:val="24"/>
        </w:rPr>
        <w:t xml:space="preserve"> </w:t>
      </w:r>
    </w:p>
    <w:p w:rsidR="004729E7" w:rsidRPr="004E7324" w:rsidRDefault="004729E7" w:rsidP="00620880">
      <w:pPr>
        <w:tabs>
          <w:tab w:val="left" w:pos="5387"/>
        </w:tabs>
        <w:ind w:left="5387"/>
        <w:rPr>
          <w:b/>
          <w:bCs/>
          <w:sz w:val="28"/>
          <w:szCs w:val="28"/>
        </w:rPr>
      </w:pPr>
      <w:r w:rsidRPr="004E7324">
        <w:rPr>
          <w:bCs/>
          <w:sz w:val="24"/>
          <w:szCs w:val="24"/>
        </w:rPr>
        <w:t xml:space="preserve">к </w:t>
      </w:r>
      <w:hyperlink r:id="rId16" w:history="1">
        <w:r w:rsidRPr="004E7324">
          <w:rPr>
            <w:bCs/>
            <w:sz w:val="24"/>
            <w:szCs w:val="24"/>
          </w:rPr>
          <w:t>Тендерной документации</w:t>
        </w:r>
      </w:hyperlink>
    </w:p>
    <w:p w:rsidR="004729E7" w:rsidRPr="00E60159" w:rsidRDefault="004729E7" w:rsidP="00620880">
      <w:pPr>
        <w:tabs>
          <w:tab w:val="left" w:pos="5387"/>
        </w:tabs>
        <w:ind w:left="5387" w:right="-285"/>
        <w:rPr>
          <w:sz w:val="24"/>
          <w:szCs w:val="24"/>
        </w:rPr>
      </w:pPr>
      <w:r>
        <w:rPr>
          <w:sz w:val="24"/>
          <w:szCs w:val="24"/>
        </w:rPr>
        <w:t xml:space="preserve">по электронным закупкам товаров: </w:t>
      </w:r>
      <w:r w:rsidR="00620880">
        <w:rPr>
          <w:sz w:val="24"/>
          <w:szCs w:val="24"/>
        </w:rPr>
        <w:t>компьютер</w:t>
      </w:r>
      <w:r>
        <w:rPr>
          <w:sz w:val="24"/>
          <w:szCs w:val="24"/>
        </w:rPr>
        <w:t xml:space="preserve"> среди ОТП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Pr>
          <w:sz w:val="24"/>
          <w:szCs w:val="24"/>
        </w:rPr>
        <w:t xml:space="preserve"> </w:t>
      </w:r>
    </w:p>
    <w:p w:rsidR="004729E7" w:rsidRDefault="004729E7" w:rsidP="00DC1D6F">
      <w:pPr>
        <w:ind w:firstLine="5670"/>
        <w:rPr>
          <w:sz w:val="24"/>
          <w:szCs w:val="24"/>
        </w:rPr>
      </w:pPr>
    </w:p>
    <w:p w:rsidR="004729E7" w:rsidRDefault="004729E7" w:rsidP="00DC1D6F">
      <w:pPr>
        <w:ind w:firstLine="5670"/>
        <w:rPr>
          <w:sz w:val="24"/>
          <w:szCs w:val="24"/>
        </w:rPr>
      </w:pPr>
    </w:p>
    <w:p w:rsidR="00DC1D6F" w:rsidRPr="004E7324" w:rsidRDefault="00DC1D6F" w:rsidP="00DC1D6F">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DC1D6F" w:rsidRPr="004E7324" w:rsidRDefault="00DC1D6F" w:rsidP="00DC1D6F">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p>
    <w:p w:rsidR="00DC1D6F" w:rsidRPr="004E7324" w:rsidRDefault="00DC1D6F" w:rsidP="00DC1D6F">
      <w:pPr>
        <w:ind w:firstLine="5670"/>
        <w:rPr>
          <w:sz w:val="24"/>
          <w:szCs w:val="24"/>
        </w:rPr>
      </w:pPr>
      <w:r w:rsidRPr="004E7324">
        <w:rPr>
          <w:sz w:val="24"/>
          <w:szCs w:val="24"/>
        </w:rPr>
        <w:t>Приложение к Протоколу</w:t>
      </w:r>
    </w:p>
    <w:p w:rsidR="00DC1D6F" w:rsidRPr="004E7324" w:rsidRDefault="00DC1D6F" w:rsidP="00DC1D6F">
      <w:pPr>
        <w:ind w:firstLine="5670"/>
        <w:rPr>
          <w:sz w:val="24"/>
          <w:szCs w:val="24"/>
        </w:rPr>
      </w:pPr>
      <w:r w:rsidRPr="004E7324">
        <w:rPr>
          <w:sz w:val="24"/>
          <w:szCs w:val="24"/>
        </w:rPr>
        <w:t>Заседания Правления</w:t>
      </w:r>
    </w:p>
    <w:p w:rsidR="00DC1D6F" w:rsidRPr="004E7324" w:rsidRDefault="00DC1D6F" w:rsidP="00DC1D6F">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r w:rsidRPr="004E7324">
        <w:rPr>
          <w:sz w:val="24"/>
          <w:szCs w:val="24"/>
        </w:rPr>
        <w:t>от 05 июля 2012 года, №29/12</w:t>
      </w:r>
    </w:p>
    <w:p w:rsidR="00DC1D6F" w:rsidRPr="004E7324" w:rsidRDefault="00DC1D6F" w:rsidP="00DC1D6F">
      <w:pPr>
        <w:jc w:val="center"/>
        <w:rPr>
          <w:b/>
          <w:sz w:val="24"/>
          <w:szCs w:val="24"/>
        </w:rPr>
      </w:pPr>
    </w:p>
    <w:p w:rsidR="00DC1D6F" w:rsidRPr="004E7324" w:rsidRDefault="00DC1D6F" w:rsidP="00DC1D6F">
      <w:pPr>
        <w:jc w:val="center"/>
        <w:rPr>
          <w:b/>
          <w:sz w:val="24"/>
          <w:szCs w:val="24"/>
        </w:rPr>
      </w:pPr>
      <w:r w:rsidRPr="004E7324">
        <w:rPr>
          <w:b/>
          <w:sz w:val="24"/>
          <w:szCs w:val="24"/>
        </w:rPr>
        <w:t>Правила</w:t>
      </w:r>
    </w:p>
    <w:p w:rsidR="00DC1D6F" w:rsidRPr="004E7324" w:rsidRDefault="00DC1D6F" w:rsidP="00DC1D6F">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DC1D6F" w:rsidRPr="004E7324" w:rsidRDefault="00DC1D6F" w:rsidP="00DC1D6F">
      <w:pPr>
        <w:jc w:val="center"/>
        <w:rPr>
          <w:b/>
          <w:sz w:val="24"/>
          <w:szCs w:val="24"/>
        </w:rPr>
      </w:pPr>
      <w:r w:rsidRPr="004E7324">
        <w:rPr>
          <w:b/>
          <w:sz w:val="24"/>
          <w:szCs w:val="24"/>
        </w:rPr>
        <w:t>потенциальных (поставщиков) Холдинга</w:t>
      </w:r>
    </w:p>
    <w:p w:rsidR="00DC1D6F" w:rsidRPr="004E7324" w:rsidRDefault="00DC1D6F" w:rsidP="00DC1D6F">
      <w:pPr>
        <w:jc w:val="center"/>
        <w:rPr>
          <w:sz w:val="24"/>
          <w:szCs w:val="24"/>
        </w:rPr>
      </w:pPr>
    </w:p>
    <w:p w:rsidR="00DC1D6F" w:rsidRPr="006870F4" w:rsidRDefault="00DC1D6F" w:rsidP="00DC1D6F">
      <w:pPr>
        <w:pStyle w:val="a7"/>
        <w:numPr>
          <w:ilvl w:val="0"/>
          <w:numId w:val="2"/>
        </w:numPr>
        <w:jc w:val="center"/>
        <w:rPr>
          <w:b/>
          <w:sz w:val="24"/>
          <w:szCs w:val="24"/>
        </w:rPr>
      </w:pPr>
      <w:r w:rsidRPr="006870F4">
        <w:rPr>
          <w:b/>
          <w:sz w:val="24"/>
          <w:szCs w:val="24"/>
        </w:rPr>
        <w:t>Общие положения</w:t>
      </w:r>
    </w:p>
    <w:p w:rsidR="00DC1D6F" w:rsidRPr="004E7324" w:rsidRDefault="00DC1D6F" w:rsidP="00DC1D6F">
      <w:pPr>
        <w:pStyle w:val="a7"/>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DC1D6F" w:rsidRPr="006870F4" w:rsidRDefault="00DC1D6F" w:rsidP="00DC1D6F">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DC1D6F" w:rsidRPr="006870F4" w:rsidRDefault="00DC1D6F" w:rsidP="00DC1D6F">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DC1D6F" w:rsidRPr="006870F4" w:rsidRDefault="00DC1D6F" w:rsidP="00DC1D6F">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DC1D6F" w:rsidRPr="006870F4" w:rsidRDefault="00DC1D6F" w:rsidP="00DC1D6F">
      <w:pPr>
        <w:pStyle w:val="a7"/>
        <w:numPr>
          <w:ilvl w:val="0"/>
          <w:numId w:val="3"/>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DC1D6F" w:rsidRPr="006870F4" w:rsidRDefault="00DC1D6F" w:rsidP="00DC1D6F">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DC1D6F" w:rsidRPr="004E7324" w:rsidRDefault="00DC1D6F" w:rsidP="00DC1D6F">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FF78F8" w:rsidRDefault="00DC1D6F" w:rsidP="00DC1D6F">
      <w:pPr>
        <w:ind w:firstLine="709"/>
        <w:jc w:val="both"/>
        <w:rPr>
          <w:sz w:val="24"/>
          <w:szCs w:val="24"/>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DC1D6F" w:rsidRDefault="00DC1D6F" w:rsidP="00FF78F8">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DC1D6F" w:rsidRPr="004E7324" w:rsidRDefault="00DC1D6F" w:rsidP="00DC1D6F">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F666F5" w:rsidRDefault="00F666F5" w:rsidP="00F666F5">
      <w:pPr>
        <w:ind w:firstLine="708"/>
        <w:jc w:val="right"/>
        <w:rPr>
          <w:sz w:val="24"/>
          <w:szCs w:val="24"/>
        </w:rPr>
      </w:pPr>
    </w:p>
    <w:p w:rsidR="00F666F5" w:rsidRPr="00F666F5" w:rsidRDefault="00F666F5" w:rsidP="00F666F5">
      <w:pPr>
        <w:ind w:firstLine="708"/>
        <w:jc w:val="right"/>
        <w:rPr>
          <w:sz w:val="24"/>
          <w:szCs w:val="24"/>
        </w:rPr>
      </w:pPr>
      <w:r w:rsidRPr="00F666F5">
        <w:rPr>
          <w:sz w:val="24"/>
          <w:szCs w:val="24"/>
        </w:rPr>
        <w:t>32</w:t>
      </w:r>
    </w:p>
    <w:p w:rsidR="00DC1D6F" w:rsidRPr="004E7324" w:rsidRDefault="00DC1D6F" w:rsidP="00DC1D6F">
      <w:pPr>
        <w:ind w:firstLine="708"/>
        <w:jc w:val="both"/>
        <w:rPr>
          <w:sz w:val="24"/>
          <w:szCs w:val="24"/>
        </w:rPr>
      </w:pPr>
      <w:r w:rsidRPr="004E7324">
        <w:rPr>
          <w:b/>
          <w:sz w:val="24"/>
          <w:szCs w:val="24"/>
        </w:rPr>
        <w:lastRenderedPageBreak/>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DC1D6F" w:rsidRPr="004E7324" w:rsidRDefault="00DC1D6F" w:rsidP="00DC1D6F">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DC1D6F" w:rsidRPr="004E7324" w:rsidRDefault="00DC1D6F" w:rsidP="00472B98">
      <w:pPr>
        <w:jc w:val="both"/>
        <w:rPr>
          <w:sz w:val="24"/>
          <w:szCs w:val="24"/>
          <w:lang w:val="kk-KZ"/>
        </w:rPr>
      </w:pPr>
      <w:r w:rsidRPr="004E7324">
        <w:rPr>
          <w:sz w:val="24"/>
          <w:szCs w:val="24"/>
          <w:lang w:val="kk-KZ"/>
        </w:rPr>
        <w:t xml:space="preserve">            </w:t>
      </w: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DC1D6F" w:rsidRPr="004E7324" w:rsidRDefault="00DC1D6F" w:rsidP="00DC1D6F">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8"/>
        <w:jc w:val="both"/>
        <w:rPr>
          <w:sz w:val="24"/>
          <w:szCs w:val="24"/>
        </w:rPr>
      </w:pPr>
      <w:r w:rsidRPr="004E7324">
        <w:rPr>
          <w:sz w:val="24"/>
          <w:szCs w:val="24"/>
          <w:lang w:val="kk-KZ"/>
        </w:rPr>
        <w:t xml:space="preserve">5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DC1D6F" w:rsidRPr="004E7324" w:rsidRDefault="00DC1D6F" w:rsidP="00DC1D6F">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p>
    <w:p w:rsidR="00DC1D6F" w:rsidRPr="004E7324" w:rsidRDefault="00DC1D6F" w:rsidP="00DC1D6F">
      <w:pPr>
        <w:ind w:firstLine="709"/>
        <w:jc w:val="both"/>
        <w:rPr>
          <w:sz w:val="24"/>
          <w:szCs w:val="24"/>
        </w:rPr>
      </w:pPr>
      <w:r w:rsidRPr="004E732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на праве собственности или доверительного управления, утвержденных Советом директоров</w:t>
      </w:r>
      <w:r w:rsidRPr="004E7324">
        <w:rPr>
          <w:sz w:val="24"/>
          <w:szCs w:val="24"/>
        </w:rPr>
        <w:t xml:space="preserve">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от 14 января 2009 года №7 (далее - Единые правила);</w:t>
      </w:r>
      <w:r w:rsidRPr="004E7324">
        <w:rPr>
          <w:sz w:val="24"/>
          <w:szCs w:val="24"/>
        </w:rPr>
        <w:t xml:space="preserve"> </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закупок;</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DC1D6F" w:rsidRPr="004E7324" w:rsidRDefault="00DC1D6F" w:rsidP="00DC1D6F">
      <w:pPr>
        <w:jc w:val="both"/>
        <w:rPr>
          <w:sz w:val="24"/>
          <w:szCs w:val="24"/>
        </w:rPr>
      </w:pPr>
      <w:r w:rsidRPr="004E7324">
        <w:rPr>
          <w:sz w:val="24"/>
          <w:szCs w:val="24"/>
        </w:rPr>
        <w:t xml:space="preserve">              6</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DC1D6F" w:rsidRPr="004E7324" w:rsidRDefault="00DC1D6F" w:rsidP="00DC1D6F">
      <w:pPr>
        <w:jc w:val="both"/>
        <w:rPr>
          <w:sz w:val="24"/>
          <w:szCs w:val="24"/>
        </w:rPr>
      </w:pPr>
      <w:r w:rsidRPr="004E7324">
        <w:rPr>
          <w:sz w:val="24"/>
          <w:szCs w:val="24"/>
        </w:rPr>
        <w:t xml:space="preserve">            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Default="00DC1D6F" w:rsidP="00DC1D6F">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DC1D6F" w:rsidRPr="004E7324" w:rsidRDefault="00DC1D6F" w:rsidP="003C1D93">
      <w:pPr>
        <w:ind w:firstLine="851"/>
        <w:jc w:val="both"/>
        <w:rPr>
          <w:sz w:val="24"/>
          <w:szCs w:val="24"/>
        </w:rPr>
      </w:pPr>
      <w:r w:rsidRPr="004E7324">
        <w:rPr>
          <w:sz w:val="24"/>
          <w:szCs w:val="24"/>
        </w:rPr>
        <w:t>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DC1D6F" w:rsidRPr="004E7324" w:rsidRDefault="00DC1D6F" w:rsidP="00DC1D6F">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DC1D6F" w:rsidRPr="004E7324" w:rsidRDefault="00DC1D6F" w:rsidP="00DC1D6F">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F666F5" w:rsidRDefault="00F666F5" w:rsidP="00F666F5">
      <w:pPr>
        <w:ind w:firstLine="709"/>
        <w:jc w:val="right"/>
        <w:rPr>
          <w:sz w:val="24"/>
          <w:szCs w:val="24"/>
        </w:rPr>
      </w:pPr>
      <w:r>
        <w:rPr>
          <w:sz w:val="24"/>
          <w:szCs w:val="24"/>
        </w:rPr>
        <w:t>33</w:t>
      </w:r>
    </w:p>
    <w:p w:rsidR="00DC1D6F" w:rsidRPr="004E7324" w:rsidRDefault="00DC1D6F" w:rsidP="00DC1D6F">
      <w:pPr>
        <w:ind w:firstLine="709"/>
        <w:jc w:val="both"/>
        <w:rPr>
          <w:sz w:val="24"/>
          <w:szCs w:val="24"/>
        </w:rPr>
      </w:pPr>
      <w:r w:rsidRPr="004E7324">
        <w:rPr>
          <w:sz w:val="24"/>
          <w:szCs w:val="24"/>
        </w:rPr>
        <w:lastRenderedPageBreak/>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DC1D6F" w:rsidRPr="004E7324" w:rsidRDefault="00DC1D6F" w:rsidP="00DC1D6F">
      <w:pPr>
        <w:jc w:val="both"/>
        <w:rPr>
          <w:sz w:val="24"/>
          <w:szCs w:val="24"/>
        </w:rPr>
      </w:pPr>
      <w:r w:rsidRPr="004E7324">
        <w:rPr>
          <w:sz w:val="24"/>
          <w:szCs w:val="24"/>
        </w:rPr>
        <w:t xml:space="preserve">            - организациями, входящими в Холдинг.</w:t>
      </w:r>
    </w:p>
    <w:p w:rsidR="00DC1D6F" w:rsidRPr="004E7324" w:rsidRDefault="00DC1D6F" w:rsidP="00DC1D6F">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DC1D6F" w:rsidRPr="004E7324" w:rsidRDefault="00DC1D6F" w:rsidP="00DC1D6F">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DC1D6F" w:rsidRPr="004E7324" w:rsidRDefault="00DC1D6F" w:rsidP="00DC1D6F">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DC1D6F" w:rsidRPr="004E7324" w:rsidRDefault="00DC1D6F" w:rsidP="00DC1D6F">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DC1D6F" w:rsidRPr="004E7324" w:rsidRDefault="00DC1D6F" w:rsidP="00DC1D6F">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DC1D6F" w:rsidRPr="004E7324" w:rsidRDefault="00DC1D6F" w:rsidP="00DC1D6F">
      <w:pPr>
        <w:jc w:val="both"/>
        <w:rPr>
          <w:sz w:val="24"/>
          <w:szCs w:val="24"/>
        </w:rPr>
      </w:pPr>
      <w:r w:rsidRPr="004E7324">
        <w:rPr>
          <w:sz w:val="24"/>
          <w:szCs w:val="24"/>
        </w:rPr>
        <w:t xml:space="preserve">            - отечественными товаропроизводителями закупаемого товара;</w:t>
      </w:r>
    </w:p>
    <w:p w:rsidR="00DC1D6F" w:rsidRPr="004E7324" w:rsidRDefault="00DC1D6F" w:rsidP="00DC1D6F">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DC1D6F" w:rsidRPr="004E7324" w:rsidRDefault="00DC1D6F" w:rsidP="00DC1D6F">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DC1D6F" w:rsidRPr="004E7324" w:rsidRDefault="00DC1D6F" w:rsidP="00DC1D6F">
      <w:pPr>
        <w:tabs>
          <w:tab w:val="left" w:pos="426"/>
        </w:tabs>
        <w:ind w:firstLine="709"/>
        <w:jc w:val="both"/>
        <w:rPr>
          <w:sz w:val="24"/>
          <w:szCs w:val="24"/>
        </w:rPr>
      </w:pPr>
      <w:r w:rsidRPr="004E7324">
        <w:rPr>
          <w:sz w:val="24"/>
          <w:szCs w:val="24"/>
        </w:rPr>
        <w:t>6)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DC1D6F" w:rsidRDefault="00DC1D6F" w:rsidP="00DC1D6F">
      <w:pPr>
        <w:tabs>
          <w:tab w:val="left" w:pos="426"/>
        </w:tabs>
        <w:ind w:firstLine="709"/>
        <w:jc w:val="both"/>
        <w:rPr>
          <w:sz w:val="24"/>
          <w:szCs w:val="24"/>
        </w:rPr>
      </w:pPr>
      <w:r w:rsidRPr="004E7324">
        <w:rPr>
          <w:sz w:val="24"/>
          <w:szCs w:val="24"/>
        </w:rPr>
        <w:t>7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DC1D6F" w:rsidRPr="004E7324" w:rsidRDefault="00DC1D6F" w:rsidP="00DC1D6F">
      <w:pPr>
        <w:tabs>
          <w:tab w:val="left" w:pos="426"/>
        </w:tabs>
        <w:ind w:firstLine="709"/>
        <w:jc w:val="both"/>
        <w:rPr>
          <w:sz w:val="24"/>
          <w:szCs w:val="24"/>
        </w:rPr>
      </w:pPr>
      <w:r w:rsidRPr="004E7324">
        <w:rPr>
          <w:sz w:val="24"/>
          <w:szCs w:val="24"/>
        </w:rPr>
        <w:t>8 Датой обнаружения потенциального поставщика (поставщика) ненадежным считается:</w:t>
      </w:r>
    </w:p>
    <w:p w:rsidR="00DC1D6F" w:rsidRDefault="00DC1D6F" w:rsidP="00DC1D6F">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DC1D6F" w:rsidRPr="004E7324" w:rsidRDefault="00DC1D6F" w:rsidP="00DC1D6F">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и (или) обеспечения возврата аванса (предоплаты);</w:t>
      </w:r>
    </w:p>
    <w:p w:rsidR="00C20EB6" w:rsidRPr="004E7324" w:rsidRDefault="00DC1D6F" w:rsidP="0094501B">
      <w:pPr>
        <w:tabs>
          <w:tab w:val="left" w:pos="426"/>
        </w:tabs>
        <w:ind w:firstLine="709"/>
        <w:jc w:val="both"/>
        <w:rPr>
          <w:sz w:val="24"/>
          <w:szCs w:val="24"/>
        </w:rPr>
      </w:pPr>
      <w:r w:rsidRPr="004E7324">
        <w:rPr>
          <w:sz w:val="24"/>
          <w:szCs w:val="24"/>
        </w:rPr>
        <w:t xml:space="preserve">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w:t>
      </w:r>
      <w:r w:rsidR="00C20EB6" w:rsidRPr="004E7324">
        <w:rPr>
          <w:sz w:val="24"/>
          <w:szCs w:val="24"/>
        </w:rPr>
        <w:t>суда), согласно которому установлен факт неисполнения или ненадлежащего исполнения обязательств по договору;</w:t>
      </w:r>
      <w:r w:rsidR="005A1734">
        <w:rPr>
          <w:sz w:val="24"/>
          <w:szCs w:val="24"/>
        </w:rPr>
        <w:t xml:space="preserve">                                                                                         </w:t>
      </w:r>
      <w:r w:rsidR="00C56F45">
        <w:rPr>
          <w:sz w:val="24"/>
          <w:szCs w:val="24"/>
        </w:rPr>
        <w:t xml:space="preserve">     </w:t>
      </w:r>
      <w:r w:rsidR="005A1734">
        <w:rPr>
          <w:sz w:val="24"/>
          <w:szCs w:val="24"/>
        </w:rPr>
        <w:t xml:space="preserve">  </w:t>
      </w:r>
    </w:p>
    <w:p w:rsidR="00F666F5" w:rsidRDefault="00F666F5" w:rsidP="00DC1D6F">
      <w:pPr>
        <w:tabs>
          <w:tab w:val="left" w:pos="426"/>
        </w:tabs>
        <w:ind w:firstLine="709"/>
        <w:jc w:val="both"/>
        <w:rPr>
          <w:sz w:val="24"/>
          <w:szCs w:val="24"/>
        </w:rPr>
      </w:pPr>
    </w:p>
    <w:p w:rsidR="00F666F5" w:rsidRDefault="00F666F5" w:rsidP="00DC1D6F">
      <w:pPr>
        <w:tabs>
          <w:tab w:val="left" w:pos="426"/>
        </w:tabs>
        <w:ind w:firstLine="709"/>
        <w:jc w:val="both"/>
        <w:rPr>
          <w:sz w:val="24"/>
          <w:szCs w:val="24"/>
        </w:rPr>
      </w:pPr>
    </w:p>
    <w:p w:rsidR="00F666F5" w:rsidRDefault="00F666F5" w:rsidP="00F666F5">
      <w:pPr>
        <w:tabs>
          <w:tab w:val="left" w:pos="426"/>
        </w:tabs>
        <w:ind w:firstLine="709"/>
        <w:jc w:val="right"/>
        <w:rPr>
          <w:sz w:val="24"/>
          <w:szCs w:val="24"/>
        </w:rPr>
      </w:pPr>
      <w:r>
        <w:rPr>
          <w:sz w:val="24"/>
          <w:szCs w:val="24"/>
        </w:rPr>
        <w:t>34</w:t>
      </w:r>
    </w:p>
    <w:p w:rsidR="00DC1D6F" w:rsidRPr="004E7324" w:rsidRDefault="00DC1D6F" w:rsidP="00DC1D6F">
      <w:pPr>
        <w:tabs>
          <w:tab w:val="left" w:pos="426"/>
        </w:tabs>
        <w:ind w:firstLine="709"/>
        <w:jc w:val="both"/>
        <w:rPr>
          <w:sz w:val="24"/>
          <w:szCs w:val="24"/>
        </w:rPr>
      </w:pPr>
      <w:r w:rsidRPr="004E7324">
        <w:rPr>
          <w:sz w:val="24"/>
          <w:szCs w:val="24"/>
        </w:rPr>
        <w:lastRenderedPageBreak/>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DC1D6F" w:rsidRPr="004E7324" w:rsidRDefault="00DC1D6F" w:rsidP="00DC1D6F">
      <w:pPr>
        <w:tabs>
          <w:tab w:val="left" w:pos="426"/>
        </w:tabs>
        <w:ind w:firstLine="709"/>
        <w:jc w:val="both"/>
        <w:rPr>
          <w:sz w:val="24"/>
          <w:szCs w:val="24"/>
        </w:rPr>
      </w:pPr>
      <w:r w:rsidRPr="004E7324">
        <w:rPr>
          <w:sz w:val="24"/>
          <w:szCs w:val="24"/>
        </w:rPr>
        <w:t xml:space="preserve">9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DC1D6F" w:rsidRPr="004E7324" w:rsidRDefault="00DC1D6F" w:rsidP="00DC1D6F">
      <w:pPr>
        <w:tabs>
          <w:tab w:val="left" w:pos="426"/>
        </w:tabs>
        <w:ind w:firstLine="709"/>
        <w:jc w:val="both"/>
        <w:rPr>
          <w:sz w:val="24"/>
          <w:szCs w:val="24"/>
        </w:rPr>
      </w:pPr>
      <w:r w:rsidRPr="004E7324">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DC1D6F" w:rsidRPr="004E7324" w:rsidRDefault="00DC1D6F" w:rsidP="00DC1D6F">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9.3 в случае невнесения обеспечения исполнения договора и (или) обеспечения возврата аванса (предоплаты), в установленные договором сроки:</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DC1D6F" w:rsidRPr="004E7324" w:rsidRDefault="00DC1D6F" w:rsidP="00DC1D6F">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DC1D6F" w:rsidRPr="004E7324" w:rsidRDefault="00DC1D6F" w:rsidP="00DC1D6F">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DC1D6F" w:rsidRDefault="00DC1D6F" w:rsidP="00DC1D6F">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DC1D6F" w:rsidRDefault="00DC1D6F" w:rsidP="00DC1D6F">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DC1D6F" w:rsidRPr="004E7324" w:rsidRDefault="00DC1D6F" w:rsidP="00DC1D6F">
      <w:pPr>
        <w:ind w:firstLine="709"/>
        <w:jc w:val="both"/>
        <w:rPr>
          <w:sz w:val="24"/>
          <w:szCs w:val="24"/>
        </w:rPr>
      </w:pPr>
      <w:r w:rsidRPr="004E7324">
        <w:rPr>
          <w:sz w:val="24"/>
          <w:szCs w:val="24"/>
        </w:rPr>
        <w:t>7) информация, заполненная по форме согласно приложению №1 к Правилам.</w:t>
      </w:r>
    </w:p>
    <w:p w:rsidR="00F666F5" w:rsidRDefault="00F666F5" w:rsidP="00F666F5">
      <w:pPr>
        <w:spacing w:after="200" w:line="276" w:lineRule="auto"/>
        <w:jc w:val="right"/>
        <w:rPr>
          <w:sz w:val="24"/>
          <w:szCs w:val="24"/>
        </w:rPr>
      </w:pPr>
      <w:r>
        <w:rPr>
          <w:sz w:val="24"/>
          <w:szCs w:val="24"/>
        </w:rPr>
        <w:t>35</w:t>
      </w:r>
      <w:r>
        <w:rPr>
          <w:sz w:val="24"/>
          <w:szCs w:val="24"/>
        </w:rPr>
        <w:br w:type="page"/>
      </w:r>
    </w:p>
    <w:p w:rsidR="00DC1D6F" w:rsidRPr="004E7324" w:rsidRDefault="00DC1D6F" w:rsidP="00DC1D6F">
      <w:pPr>
        <w:ind w:firstLine="709"/>
        <w:jc w:val="both"/>
        <w:rPr>
          <w:sz w:val="24"/>
          <w:szCs w:val="24"/>
        </w:rPr>
      </w:pPr>
      <w:r w:rsidRPr="004E7324">
        <w:rPr>
          <w:sz w:val="24"/>
          <w:szCs w:val="24"/>
        </w:rPr>
        <w:lastRenderedPageBreak/>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решение (постановление) суда, вступившего в законную силу;</w:t>
      </w:r>
    </w:p>
    <w:p w:rsidR="00DC1D6F" w:rsidRPr="004E7324" w:rsidRDefault="00DC1D6F" w:rsidP="00DC1D6F">
      <w:pPr>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DC1D6F" w:rsidRPr="004E7324" w:rsidRDefault="00DC1D6F" w:rsidP="00DC1D6F">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DC1D6F" w:rsidRPr="004E7324" w:rsidRDefault="00DC1D6F" w:rsidP="00DC1D6F">
      <w:pPr>
        <w:ind w:firstLine="709"/>
        <w:jc w:val="both"/>
        <w:rPr>
          <w:sz w:val="24"/>
          <w:szCs w:val="24"/>
        </w:rPr>
      </w:pPr>
      <w:r w:rsidRPr="004E7324">
        <w:rPr>
          <w:sz w:val="24"/>
          <w:szCs w:val="24"/>
        </w:rPr>
        <w:t>4)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DC1D6F" w:rsidRPr="004E7324" w:rsidRDefault="00DC1D6F" w:rsidP="00DC1D6F">
      <w:pPr>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DC1D6F" w:rsidRPr="004E7324" w:rsidRDefault="00DC1D6F" w:rsidP="00DC1D6F">
      <w:pPr>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10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DC1D6F" w:rsidRPr="004E7324" w:rsidRDefault="00DC1D6F" w:rsidP="00DC1D6F">
      <w:pPr>
        <w:ind w:firstLine="709"/>
        <w:jc w:val="both"/>
        <w:rPr>
          <w:sz w:val="24"/>
          <w:szCs w:val="24"/>
        </w:rPr>
      </w:pPr>
      <w:r w:rsidRPr="004E7324">
        <w:rPr>
          <w:sz w:val="24"/>
          <w:szCs w:val="24"/>
        </w:rPr>
        <w:t xml:space="preserve">11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DC1D6F" w:rsidRPr="004E7324" w:rsidRDefault="00DC1D6F" w:rsidP="00DC1D6F">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DC1D6F" w:rsidRPr="004E7324" w:rsidRDefault="00DC1D6F" w:rsidP="00DC1D6F">
      <w:pPr>
        <w:ind w:firstLine="709"/>
        <w:jc w:val="both"/>
        <w:rPr>
          <w:sz w:val="24"/>
          <w:szCs w:val="24"/>
        </w:rPr>
      </w:pPr>
      <w:r w:rsidRPr="004E7324">
        <w:rPr>
          <w:sz w:val="24"/>
          <w:szCs w:val="24"/>
        </w:rPr>
        <w:t>12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DC1D6F" w:rsidRPr="004E7324" w:rsidRDefault="00DC1D6F" w:rsidP="00DC1D6F">
      <w:pPr>
        <w:ind w:firstLine="709"/>
        <w:jc w:val="both"/>
        <w:rPr>
          <w:sz w:val="24"/>
          <w:szCs w:val="24"/>
        </w:rPr>
      </w:pPr>
      <w:r w:rsidRPr="004E7324">
        <w:rPr>
          <w:sz w:val="24"/>
          <w:szCs w:val="24"/>
        </w:rPr>
        <w:t>13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DC1D6F" w:rsidRPr="004E7324" w:rsidRDefault="00DC1D6F" w:rsidP="00DC1D6F">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547EED" w:rsidRDefault="00DC1D6F" w:rsidP="00DC1D6F">
      <w:pPr>
        <w:ind w:firstLine="709"/>
        <w:jc w:val="both"/>
        <w:rPr>
          <w:sz w:val="24"/>
          <w:szCs w:val="24"/>
        </w:rPr>
      </w:pPr>
      <w:r w:rsidRPr="004E7324">
        <w:rPr>
          <w:sz w:val="24"/>
          <w:szCs w:val="24"/>
        </w:rPr>
        <w:t xml:space="preserve">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w:t>
      </w:r>
    </w:p>
    <w:p w:rsidR="00DC1D6F" w:rsidRPr="004E7324" w:rsidRDefault="00DC1D6F" w:rsidP="00547EED">
      <w:pPr>
        <w:jc w:val="both"/>
        <w:rPr>
          <w:sz w:val="24"/>
          <w:szCs w:val="24"/>
        </w:rPr>
      </w:pPr>
      <w:r w:rsidRPr="004E7324">
        <w:rPr>
          <w:sz w:val="24"/>
          <w:szCs w:val="24"/>
        </w:rPr>
        <w:t>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F666F5" w:rsidRDefault="00DC1D6F" w:rsidP="00DC1D6F">
      <w:pPr>
        <w:ind w:firstLine="709"/>
        <w:jc w:val="both"/>
        <w:rPr>
          <w:sz w:val="24"/>
          <w:szCs w:val="24"/>
        </w:rPr>
      </w:pPr>
      <w:r w:rsidRPr="004E7324">
        <w:rPr>
          <w:sz w:val="24"/>
          <w:szCs w:val="24"/>
        </w:rPr>
        <w:t>15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xml:space="preserve">) сведений согласно пункту 9 Правил по потенциальному поставщику (поставщику), состоящему в Перечне ненадежных </w:t>
      </w:r>
    </w:p>
    <w:p w:rsidR="00F666F5" w:rsidRDefault="00F666F5" w:rsidP="00F666F5">
      <w:pPr>
        <w:jc w:val="right"/>
        <w:rPr>
          <w:sz w:val="24"/>
          <w:szCs w:val="24"/>
        </w:rPr>
      </w:pPr>
      <w:r>
        <w:rPr>
          <w:sz w:val="24"/>
          <w:szCs w:val="24"/>
        </w:rPr>
        <w:t>36</w:t>
      </w:r>
    </w:p>
    <w:p w:rsidR="00DC1D6F" w:rsidRPr="004E7324" w:rsidRDefault="00DC1D6F" w:rsidP="00F666F5">
      <w:pPr>
        <w:jc w:val="both"/>
        <w:rPr>
          <w:sz w:val="24"/>
          <w:szCs w:val="24"/>
        </w:rPr>
      </w:pPr>
      <w:r w:rsidRPr="004E7324">
        <w:rPr>
          <w:sz w:val="24"/>
          <w:szCs w:val="24"/>
        </w:rPr>
        <w:lastRenderedPageBreak/>
        <w:t>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w:t>
      </w:r>
      <w:proofErr w:type="gramStart"/>
      <w:r w:rsidRPr="004E7324">
        <w:rPr>
          <w:sz w:val="24"/>
          <w:szCs w:val="24"/>
        </w:rPr>
        <w:t>м(</w:t>
      </w:r>
      <w:proofErr w:type="gramEnd"/>
      <w:r w:rsidRPr="004E7324">
        <w:rPr>
          <w:sz w:val="24"/>
          <w:szCs w:val="24"/>
        </w:rPr>
        <w:t>амии) сведений согласно пункту 9 Правил.</w:t>
      </w:r>
    </w:p>
    <w:p w:rsidR="00DC1D6F" w:rsidRPr="004E7324" w:rsidRDefault="00DC1D6F" w:rsidP="00DC1D6F">
      <w:pPr>
        <w:ind w:firstLine="709"/>
        <w:jc w:val="both"/>
        <w:rPr>
          <w:sz w:val="24"/>
          <w:szCs w:val="24"/>
        </w:rPr>
      </w:pPr>
      <w:proofErr w:type="gramStart"/>
      <w:r w:rsidRPr="004E7324">
        <w:rPr>
          <w:sz w:val="24"/>
          <w:szCs w:val="24"/>
        </w:rPr>
        <w:t>16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обоснованности включения потенциального поставщика (поставщика) в Перечень ненадежных потенциальных поставщиков (поставщиков) Холдинга.</w:t>
      </w:r>
      <w:proofErr w:type="gramEnd"/>
    </w:p>
    <w:p w:rsidR="00DC1D6F" w:rsidRPr="004E7324" w:rsidRDefault="00DC1D6F" w:rsidP="00DC1D6F">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DC1D6F" w:rsidRPr="004E7324" w:rsidRDefault="00DC1D6F" w:rsidP="00DC1D6F">
      <w:pPr>
        <w:jc w:val="both"/>
        <w:rPr>
          <w:sz w:val="24"/>
          <w:szCs w:val="24"/>
        </w:rPr>
      </w:pPr>
    </w:p>
    <w:p w:rsidR="00DC1D6F" w:rsidRDefault="00DC1D6F" w:rsidP="00DC1D6F">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DC1D6F" w:rsidRPr="004E7324" w:rsidRDefault="00DC1D6F" w:rsidP="00DC1D6F">
      <w:pPr>
        <w:jc w:val="center"/>
        <w:rPr>
          <w:b/>
          <w:sz w:val="24"/>
          <w:szCs w:val="24"/>
          <w:lang w:val="kk-KZ"/>
        </w:rPr>
      </w:pPr>
      <w:r w:rsidRPr="004E7324">
        <w:rPr>
          <w:b/>
          <w:sz w:val="24"/>
          <w:szCs w:val="24"/>
          <w:lang w:val="kk-KZ"/>
        </w:rPr>
        <w:t>(поставщиков)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9"/>
        <w:jc w:val="both"/>
        <w:rPr>
          <w:sz w:val="24"/>
          <w:szCs w:val="24"/>
        </w:rPr>
      </w:pPr>
      <w:r w:rsidRPr="004E7324">
        <w:rPr>
          <w:sz w:val="24"/>
          <w:szCs w:val="24"/>
          <w:lang w:val="kk-KZ"/>
        </w:rPr>
        <w:t>17</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DC1D6F" w:rsidRPr="004E7324" w:rsidRDefault="00DC1D6F" w:rsidP="00DC1D6F">
      <w:pPr>
        <w:ind w:firstLine="709"/>
        <w:jc w:val="both"/>
        <w:rPr>
          <w:sz w:val="24"/>
          <w:szCs w:val="24"/>
          <w:lang w:val="kk-KZ"/>
        </w:rPr>
      </w:pPr>
      <w:r w:rsidRPr="004E7324">
        <w:rPr>
          <w:sz w:val="24"/>
          <w:szCs w:val="24"/>
        </w:rPr>
        <w:t>18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rPr>
      </w:pPr>
      <w:r w:rsidRPr="004E7324">
        <w:rPr>
          <w:b/>
          <w:sz w:val="24"/>
          <w:szCs w:val="24"/>
        </w:rPr>
        <w:t>4</w:t>
      </w:r>
      <w:r w:rsidR="00ED4D18">
        <w:rPr>
          <w:b/>
          <w:sz w:val="24"/>
          <w:szCs w:val="24"/>
        </w:rPr>
        <w:t xml:space="preserve"> </w:t>
      </w:r>
      <w:r w:rsidRPr="004E7324">
        <w:rPr>
          <w:b/>
          <w:sz w:val="24"/>
          <w:szCs w:val="24"/>
        </w:rPr>
        <w:t>Заключительные и переходные положения</w:t>
      </w:r>
    </w:p>
    <w:p w:rsidR="00DC1D6F" w:rsidRPr="004E7324" w:rsidRDefault="00DC1D6F" w:rsidP="00DC1D6F">
      <w:pPr>
        <w:jc w:val="both"/>
        <w:rPr>
          <w:b/>
          <w:sz w:val="24"/>
          <w:szCs w:val="24"/>
        </w:rPr>
      </w:pPr>
    </w:p>
    <w:p w:rsidR="00DC1D6F" w:rsidRPr="004E7324" w:rsidRDefault="00DC1D6F" w:rsidP="00DC1D6F">
      <w:pPr>
        <w:ind w:firstLine="709"/>
        <w:jc w:val="both"/>
        <w:rPr>
          <w:sz w:val="24"/>
          <w:szCs w:val="24"/>
          <w:lang w:val="kk-KZ"/>
        </w:rPr>
      </w:pPr>
      <w:r w:rsidRPr="004E7324">
        <w:rPr>
          <w:sz w:val="24"/>
          <w:szCs w:val="24"/>
        </w:rPr>
        <w:t>19</w:t>
      </w:r>
      <w:r>
        <w:rPr>
          <w:sz w:val="24"/>
          <w:szCs w:val="24"/>
        </w:rPr>
        <w:t xml:space="preserve">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DC1D6F" w:rsidRPr="004E7324" w:rsidRDefault="00DC1D6F" w:rsidP="00DC1D6F">
      <w:pPr>
        <w:ind w:firstLine="709"/>
        <w:jc w:val="both"/>
        <w:rPr>
          <w:sz w:val="24"/>
          <w:szCs w:val="24"/>
          <w:lang w:val="kk-KZ"/>
        </w:rPr>
      </w:pPr>
      <w:r w:rsidRPr="004E7324">
        <w:rPr>
          <w:sz w:val="24"/>
          <w:szCs w:val="24"/>
          <w:lang w:val="kk-KZ"/>
        </w:rPr>
        <w:t>20</w:t>
      </w:r>
      <w:r>
        <w:rPr>
          <w:sz w:val="24"/>
          <w:szCs w:val="24"/>
          <w:lang w:val="kk-KZ"/>
        </w:rPr>
        <w:t xml:space="preserve">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DC1D6F" w:rsidRPr="004E7324" w:rsidRDefault="00DC1D6F" w:rsidP="00DC1D6F">
      <w:pPr>
        <w:ind w:firstLine="709"/>
        <w:jc w:val="both"/>
        <w:rPr>
          <w:sz w:val="24"/>
          <w:szCs w:val="24"/>
          <w:lang w:val="kk-KZ"/>
        </w:rPr>
      </w:pPr>
      <w:r w:rsidRPr="004E7324">
        <w:rPr>
          <w:sz w:val="24"/>
          <w:szCs w:val="24"/>
          <w:lang w:val="kk-KZ"/>
        </w:rPr>
        <w:t>21 Ответственность за достовеное, полное и своевременное представление информации в Уполномоченый орган несет первый руководитель Заказчика.</w:t>
      </w:r>
    </w:p>
    <w:p w:rsidR="00FF78F8" w:rsidRPr="003C1D93" w:rsidRDefault="00DC1D6F" w:rsidP="003C1D93">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FF78F8" w:rsidRDefault="00FF78F8" w:rsidP="00C20EB6">
      <w:pPr>
        <w:jc w:val="right"/>
        <w:rPr>
          <w:sz w:val="24"/>
          <w:szCs w:val="24"/>
        </w:rPr>
      </w:pPr>
    </w:p>
    <w:p w:rsidR="00FF78F8" w:rsidRDefault="00FF78F8"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547EED">
      <w:pPr>
        <w:jc w:val="right"/>
        <w:rPr>
          <w:sz w:val="24"/>
          <w:szCs w:val="24"/>
        </w:rPr>
      </w:pPr>
    </w:p>
    <w:p w:rsidR="005A1734" w:rsidRDefault="005A1734" w:rsidP="003C1D93">
      <w:pPr>
        <w:rPr>
          <w:sz w:val="24"/>
          <w:szCs w:val="24"/>
        </w:rPr>
      </w:pPr>
    </w:p>
    <w:p w:rsidR="00F666F5" w:rsidRDefault="00F666F5" w:rsidP="003C1D93">
      <w:pPr>
        <w:rPr>
          <w:sz w:val="24"/>
          <w:szCs w:val="24"/>
        </w:rPr>
      </w:pPr>
    </w:p>
    <w:p w:rsidR="00F666F5" w:rsidRDefault="00F666F5" w:rsidP="003C1D93">
      <w:pPr>
        <w:rPr>
          <w:sz w:val="24"/>
          <w:szCs w:val="24"/>
        </w:rPr>
      </w:pPr>
    </w:p>
    <w:p w:rsidR="00F666F5" w:rsidRDefault="00F666F5" w:rsidP="00F666F5">
      <w:pPr>
        <w:jc w:val="right"/>
        <w:rPr>
          <w:sz w:val="24"/>
          <w:szCs w:val="24"/>
        </w:rPr>
      </w:pPr>
    </w:p>
    <w:p w:rsidR="00F666F5" w:rsidRDefault="00F666F5" w:rsidP="00F666F5">
      <w:pPr>
        <w:jc w:val="right"/>
        <w:rPr>
          <w:sz w:val="24"/>
          <w:szCs w:val="24"/>
        </w:rPr>
      </w:pPr>
    </w:p>
    <w:p w:rsidR="00F666F5" w:rsidRDefault="00F666F5" w:rsidP="00F666F5">
      <w:pPr>
        <w:jc w:val="right"/>
        <w:rPr>
          <w:sz w:val="24"/>
          <w:szCs w:val="24"/>
        </w:rPr>
      </w:pPr>
      <w:r>
        <w:rPr>
          <w:sz w:val="24"/>
          <w:szCs w:val="24"/>
        </w:rPr>
        <w:t>37</w:t>
      </w:r>
    </w:p>
    <w:sectPr w:rsidR="00F666F5" w:rsidSect="00E15060">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9E7" w:rsidRDefault="004729E7" w:rsidP="001D2E76">
      <w:r>
        <w:separator/>
      </w:r>
    </w:p>
  </w:endnote>
  <w:endnote w:type="continuationSeparator" w:id="0">
    <w:p w:rsidR="004729E7" w:rsidRDefault="004729E7" w:rsidP="001D2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9E7" w:rsidRDefault="004729E7">
    <w:pPr>
      <w:pStyle w:val="a3"/>
      <w:jc w:val="right"/>
    </w:pPr>
  </w:p>
  <w:p w:rsidR="004729E7" w:rsidRDefault="004729E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9E7" w:rsidRDefault="004729E7" w:rsidP="001D2E76">
      <w:r>
        <w:separator/>
      </w:r>
    </w:p>
  </w:footnote>
  <w:footnote w:type="continuationSeparator" w:id="0">
    <w:p w:rsidR="004729E7" w:rsidRDefault="004729E7" w:rsidP="001D2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9E7" w:rsidRPr="00C20EB6" w:rsidRDefault="004729E7" w:rsidP="00C20EB6">
    <w:pPr>
      <w:ind w:left="7371"/>
      <w:jc w:val="right"/>
      <w:rPr>
        <w:sz w:val="24"/>
        <w:szCs w:val="24"/>
        <w:lang w:val="kk-KZ"/>
      </w:rPr>
    </w:pPr>
    <w:r w:rsidRPr="004E7324">
      <w:rPr>
        <w:sz w:val="24"/>
        <w:szCs w:val="24"/>
      </w:rPr>
      <w:t>дп-рк-4.2.3-03-0</w:t>
    </w:r>
    <w:r>
      <w:rPr>
        <w:sz w:val="24"/>
        <w:szCs w:val="24"/>
        <w:lang w:val="kk-KZ"/>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DC1D6F"/>
    <w:rsid w:val="00081E05"/>
    <w:rsid w:val="0009445F"/>
    <w:rsid w:val="000A3F2B"/>
    <w:rsid w:val="000B6498"/>
    <w:rsid w:val="000C1AE9"/>
    <w:rsid w:val="000C1CB9"/>
    <w:rsid w:val="000F1B8B"/>
    <w:rsid w:val="000F482D"/>
    <w:rsid w:val="00155EC7"/>
    <w:rsid w:val="00176AB2"/>
    <w:rsid w:val="0019751E"/>
    <w:rsid w:val="001C1BA0"/>
    <w:rsid w:val="001D2E76"/>
    <w:rsid w:val="00225143"/>
    <w:rsid w:val="00286205"/>
    <w:rsid w:val="003C1D93"/>
    <w:rsid w:val="004729E7"/>
    <w:rsid w:val="00472B98"/>
    <w:rsid w:val="004C1129"/>
    <w:rsid w:val="005371D3"/>
    <w:rsid w:val="00547EED"/>
    <w:rsid w:val="0057590B"/>
    <w:rsid w:val="00582058"/>
    <w:rsid w:val="005A1734"/>
    <w:rsid w:val="00620880"/>
    <w:rsid w:val="00692F2A"/>
    <w:rsid w:val="006E2602"/>
    <w:rsid w:val="00705E48"/>
    <w:rsid w:val="00824659"/>
    <w:rsid w:val="0094501B"/>
    <w:rsid w:val="009455BD"/>
    <w:rsid w:val="009600A8"/>
    <w:rsid w:val="00A2186E"/>
    <w:rsid w:val="00AC3DB2"/>
    <w:rsid w:val="00B2435C"/>
    <w:rsid w:val="00B53195"/>
    <w:rsid w:val="00B5612E"/>
    <w:rsid w:val="00B646DD"/>
    <w:rsid w:val="00B72AD5"/>
    <w:rsid w:val="00C20EB6"/>
    <w:rsid w:val="00C55EE9"/>
    <w:rsid w:val="00C56F45"/>
    <w:rsid w:val="00CB3D30"/>
    <w:rsid w:val="00D00CC2"/>
    <w:rsid w:val="00DC1D6F"/>
    <w:rsid w:val="00E05923"/>
    <w:rsid w:val="00E10AC0"/>
    <w:rsid w:val="00E15060"/>
    <w:rsid w:val="00E91285"/>
    <w:rsid w:val="00EC0EC8"/>
    <w:rsid w:val="00EC60F6"/>
    <w:rsid w:val="00ED40C9"/>
    <w:rsid w:val="00ED4D18"/>
    <w:rsid w:val="00F2213D"/>
    <w:rsid w:val="00F30089"/>
    <w:rsid w:val="00F57DF1"/>
    <w:rsid w:val="00F666F5"/>
    <w:rsid w:val="00F778DB"/>
    <w:rsid w:val="00F97971"/>
    <w:rsid w:val="00FA0643"/>
    <w:rsid w:val="00FC2A98"/>
    <w:rsid w:val="00FF78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1D6F"/>
    <w:pPr>
      <w:tabs>
        <w:tab w:val="center" w:pos="4677"/>
        <w:tab w:val="right" w:pos="9355"/>
      </w:tabs>
    </w:pPr>
  </w:style>
  <w:style w:type="character" w:customStyle="1" w:styleId="a4">
    <w:name w:val="Нижний колонтитул Знак"/>
    <w:basedOn w:val="a0"/>
    <w:link w:val="a3"/>
    <w:uiPriority w:val="99"/>
    <w:rsid w:val="00DC1D6F"/>
    <w:rPr>
      <w:rFonts w:ascii="Times New Roman" w:eastAsia="Times New Roman" w:hAnsi="Times New Roman" w:cs="Times New Roman"/>
      <w:sz w:val="20"/>
      <w:szCs w:val="20"/>
      <w:lang w:eastAsia="ru-RU"/>
    </w:rPr>
  </w:style>
  <w:style w:type="character" w:styleId="a5">
    <w:name w:val="Hyperlink"/>
    <w:basedOn w:val="a0"/>
    <w:rsid w:val="00DC1D6F"/>
    <w:rPr>
      <w:color w:val="0000FF"/>
      <w:u w:val="single"/>
    </w:rPr>
  </w:style>
  <w:style w:type="character" w:customStyle="1" w:styleId="s1">
    <w:name w:val="s1"/>
    <w:basedOn w:val="a0"/>
    <w:rsid w:val="00DC1D6F"/>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DC1D6F"/>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Normal (Web)"/>
    <w:basedOn w:val="a"/>
    <w:rsid w:val="00DC1D6F"/>
    <w:pPr>
      <w:spacing w:before="100" w:beforeAutospacing="1" w:after="100" w:afterAutospacing="1"/>
    </w:pPr>
    <w:rPr>
      <w:sz w:val="24"/>
      <w:szCs w:val="24"/>
    </w:rPr>
  </w:style>
  <w:style w:type="paragraph" w:styleId="a7">
    <w:name w:val="List Paragraph"/>
    <w:basedOn w:val="a"/>
    <w:link w:val="a8"/>
    <w:qFormat/>
    <w:rsid w:val="00DC1D6F"/>
    <w:pPr>
      <w:widowControl w:val="0"/>
      <w:adjustRightInd w:val="0"/>
      <w:spacing w:line="360" w:lineRule="atLeast"/>
      <w:ind w:left="708"/>
      <w:jc w:val="both"/>
    </w:pPr>
    <w:rPr>
      <w:sz w:val="28"/>
      <w:szCs w:val="28"/>
    </w:rPr>
  </w:style>
  <w:style w:type="character" w:customStyle="1" w:styleId="a8">
    <w:name w:val="Абзац списка Знак"/>
    <w:basedOn w:val="a0"/>
    <w:link w:val="a7"/>
    <w:locked/>
    <w:rsid w:val="00DC1D6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DC1D6F"/>
    <w:rPr>
      <w:rFonts w:ascii="Tahoma" w:hAnsi="Tahoma" w:cs="Tahoma"/>
      <w:sz w:val="16"/>
      <w:szCs w:val="16"/>
    </w:rPr>
  </w:style>
  <w:style w:type="character" w:customStyle="1" w:styleId="aa">
    <w:name w:val="Текст выноски Знак"/>
    <w:basedOn w:val="a0"/>
    <w:link w:val="a9"/>
    <w:uiPriority w:val="99"/>
    <w:semiHidden/>
    <w:rsid w:val="00DC1D6F"/>
    <w:rPr>
      <w:rFonts w:ascii="Tahoma" w:eastAsia="Times New Roman" w:hAnsi="Tahoma" w:cs="Tahoma"/>
      <w:sz w:val="16"/>
      <w:szCs w:val="16"/>
      <w:lang w:eastAsia="ru-RU"/>
    </w:rPr>
  </w:style>
  <w:style w:type="paragraph" w:styleId="ab">
    <w:name w:val="header"/>
    <w:basedOn w:val="a"/>
    <w:link w:val="ac"/>
    <w:uiPriority w:val="99"/>
    <w:semiHidden/>
    <w:unhideWhenUsed/>
    <w:rsid w:val="00E05923"/>
    <w:pPr>
      <w:tabs>
        <w:tab w:val="center" w:pos="4677"/>
        <w:tab w:val="right" w:pos="9355"/>
      </w:tabs>
    </w:pPr>
  </w:style>
  <w:style w:type="character" w:customStyle="1" w:styleId="ac">
    <w:name w:val="Верхний колонтитул Знак"/>
    <w:basedOn w:val="a0"/>
    <w:link w:val="ab"/>
    <w:uiPriority w:val="99"/>
    <w:semiHidden/>
    <w:rsid w:val="00E05923"/>
    <w:rPr>
      <w:rFonts w:ascii="Times New Roman" w:eastAsia="Times New Roman" w:hAnsi="Times New Roman" w:cs="Times New Roman"/>
      <w:sz w:val="20"/>
      <w:szCs w:val="20"/>
      <w:lang w:eastAsia="ru-RU"/>
    </w:rPr>
  </w:style>
  <w:style w:type="paragraph" w:styleId="2">
    <w:name w:val="Body Text 2"/>
    <w:basedOn w:val="a"/>
    <w:link w:val="20"/>
    <w:rsid w:val="00E91285"/>
    <w:pPr>
      <w:tabs>
        <w:tab w:val="left" w:pos="567"/>
      </w:tabs>
    </w:pPr>
    <w:rPr>
      <w:sz w:val="28"/>
    </w:rPr>
  </w:style>
  <w:style w:type="character" w:customStyle="1" w:styleId="20">
    <w:name w:val="Основной текст 2 Знак"/>
    <w:basedOn w:val="a0"/>
    <w:link w:val="2"/>
    <w:rsid w:val="00E9128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jl:30358676.11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30358676.111%20"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l:34304642.7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0933B-12AC-4C85-9853-F9736B036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10</Pages>
  <Words>3915</Words>
  <Characters>22319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40</cp:revision>
  <dcterms:created xsi:type="dcterms:W3CDTF">2014-10-22T04:22:00Z</dcterms:created>
  <dcterms:modified xsi:type="dcterms:W3CDTF">2015-11-27T08:57:00Z</dcterms:modified>
</cp:coreProperties>
</file>